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7088" w:type="dxa"/>
        <w:tblLayout w:type="fixed"/>
        <w:tblLook w:val="01E0" w:firstRow="1" w:lastRow="1" w:firstColumn="1" w:lastColumn="1" w:noHBand="0" w:noVBand="0"/>
      </w:tblPr>
      <w:tblGrid>
        <w:gridCol w:w="2977"/>
      </w:tblGrid>
      <w:tr w:rsidR="00C97B2A" w:rsidRPr="00BB2CD9" w14:paraId="43D6F8C6" w14:textId="77777777" w:rsidTr="00C97B2A">
        <w:tc>
          <w:tcPr>
            <w:tcW w:w="2977" w:type="dxa"/>
          </w:tcPr>
          <w:p w14:paraId="0BF7FDF9" w14:textId="77777777" w:rsidR="00C97B2A" w:rsidRPr="00BB2CD9" w:rsidRDefault="00C97B2A" w:rsidP="007A7628">
            <w:pPr>
              <w:widowControl w:val="0"/>
              <w:spacing w:after="0" w:line="240" w:lineRule="auto"/>
              <w:rPr>
                <w:rFonts w:ascii="Times New Roman" w:hAnsi="Times New Roman" w:cs="Times New Roman"/>
                <w:sz w:val="24"/>
                <w:szCs w:val="24"/>
                <w:lang w:val="lt-LT"/>
              </w:rPr>
            </w:pPr>
            <w:bookmarkStart w:id="0" w:name="_Hlk120620172"/>
            <w:r w:rsidRPr="00BB2CD9">
              <w:rPr>
                <w:rFonts w:ascii="Times New Roman" w:hAnsi="Times New Roman" w:cs="Times New Roman"/>
                <w:sz w:val="24"/>
                <w:szCs w:val="24"/>
                <w:lang w:val="lt-LT"/>
              </w:rPr>
              <w:br w:type="page"/>
            </w:r>
            <w:r w:rsidRPr="00BB2CD9">
              <w:rPr>
                <w:rFonts w:ascii="Times New Roman" w:hAnsi="Times New Roman" w:cs="Times New Roman"/>
                <w:sz w:val="24"/>
                <w:szCs w:val="24"/>
                <w:lang w:val="lt-LT"/>
              </w:rPr>
              <w:br w:type="page"/>
            </w:r>
            <w:r w:rsidRPr="00BB2CD9">
              <w:rPr>
                <w:rFonts w:ascii="Times New Roman" w:hAnsi="Times New Roman" w:cs="Times New Roman"/>
                <w:sz w:val="24"/>
                <w:szCs w:val="24"/>
                <w:lang w:val="lt-LT"/>
              </w:rPr>
              <w:br w:type="page"/>
              <w:t>Konkurso sąlygų aprašo</w:t>
            </w:r>
          </w:p>
        </w:tc>
      </w:tr>
      <w:tr w:rsidR="00C97B2A" w:rsidRPr="00BB2CD9" w14:paraId="47476240" w14:textId="77777777" w:rsidTr="00C97B2A">
        <w:tc>
          <w:tcPr>
            <w:tcW w:w="2977" w:type="dxa"/>
          </w:tcPr>
          <w:p w14:paraId="29128A10" w14:textId="77777777" w:rsidR="00C97B2A" w:rsidRPr="00BB2CD9" w:rsidRDefault="00C97B2A" w:rsidP="007A7628">
            <w:pPr>
              <w:widowControl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r w:rsidRPr="00BB2CD9">
              <w:rPr>
                <w:rFonts w:ascii="Times New Roman" w:hAnsi="Times New Roman" w:cs="Times New Roman"/>
                <w:sz w:val="24"/>
                <w:szCs w:val="24"/>
                <w:lang w:val="lt-LT"/>
              </w:rPr>
              <w:t> priedas</w:t>
            </w:r>
          </w:p>
        </w:tc>
      </w:tr>
    </w:tbl>
    <w:p w14:paraId="1891144F" w14:textId="77777777" w:rsidR="00C97B2A" w:rsidRPr="00BB2CD9" w:rsidRDefault="00C97B2A" w:rsidP="00C97B2A">
      <w:pPr>
        <w:spacing w:after="0" w:line="240" w:lineRule="auto"/>
        <w:ind w:right="-178"/>
        <w:jc w:val="both"/>
        <w:rPr>
          <w:rFonts w:ascii="Times New Roman" w:hAnsi="Times New Roman" w:cs="Times New Roman"/>
          <w:sz w:val="24"/>
          <w:szCs w:val="24"/>
        </w:rPr>
      </w:pPr>
    </w:p>
    <w:p w14:paraId="4BCA8B75" w14:textId="498C42F0" w:rsidR="00ED0709" w:rsidRPr="007E6C65" w:rsidRDefault="002A2C6D" w:rsidP="002A2C6D">
      <w:pPr>
        <w:spacing w:after="0"/>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TECHNINĖ SPECIFIKACIJA</w:t>
      </w:r>
      <w:r w:rsidR="00CC7A5E" w:rsidRPr="007E6C65">
        <w:rPr>
          <w:rFonts w:ascii="Times New Roman" w:hAnsi="Times New Roman" w:cs="Times New Roman"/>
          <w:b/>
          <w:sz w:val="24"/>
          <w:szCs w:val="24"/>
          <w:lang w:val="lt-LT"/>
        </w:rPr>
        <w:t xml:space="preserve"> </w:t>
      </w:r>
      <w:r w:rsidR="0060185F" w:rsidRPr="007E6C65">
        <w:rPr>
          <w:rFonts w:ascii="Times New Roman" w:hAnsi="Times New Roman" w:cs="Times New Roman"/>
          <w:b/>
          <w:sz w:val="24"/>
          <w:szCs w:val="24"/>
          <w:lang w:val="lt-LT"/>
        </w:rPr>
        <w:t xml:space="preserve">PIRKIMO DALIES </w:t>
      </w:r>
      <w:r w:rsidR="00CC7A5E" w:rsidRPr="007E6C65">
        <w:rPr>
          <w:rFonts w:ascii="Times New Roman" w:hAnsi="Times New Roman" w:cs="Times New Roman"/>
          <w:b/>
          <w:sz w:val="24"/>
          <w:szCs w:val="24"/>
          <w:lang w:val="lt-LT"/>
        </w:rPr>
        <w:t>TRANSPORTO PRIEMONĖMS</w:t>
      </w:r>
    </w:p>
    <w:bookmarkEnd w:id="0"/>
    <w:p w14:paraId="7E7A72A9" w14:textId="3A8DA64B" w:rsidR="002A2C6D" w:rsidRPr="007E6C65" w:rsidRDefault="002A2C6D" w:rsidP="002A2C6D">
      <w:pPr>
        <w:spacing w:after="0"/>
        <w:rPr>
          <w:rFonts w:ascii="Times New Roman" w:hAnsi="Times New Roman" w:cs="Times New Roman"/>
          <w:b/>
          <w:sz w:val="24"/>
          <w:szCs w:val="24"/>
          <w:lang w:val="lt-LT"/>
        </w:rPr>
      </w:pPr>
    </w:p>
    <w:tbl>
      <w:tblPr>
        <w:tblStyle w:val="Lentelstinklelis"/>
        <w:tblW w:w="10530" w:type="dxa"/>
        <w:tblInd w:w="-455" w:type="dxa"/>
        <w:tblLook w:val="04A0" w:firstRow="1" w:lastRow="0" w:firstColumn="1" w:lastColumn="0" w:noHBand="0" w:noVBand="1"/>
      </w:tblPr>
      <w:tblGrid>
        <w:gridCol w:w="456"/>
        <w:gridCol w:w="2064"/>
        <w:gridCol w:w="5012"/>
        <w:gridCol w:w="2998"/>
      </w:tblGrid>
      <w:tr w:rsidR="006A18FE" w:rsidRPr="007E6C65" w14:paraId="0542CD19" w14:textId="04583B26" w:rsidTr="006A18FE">
        <w:tc>
          <w:tcPr>
            <w:tcW w:w="2520" w:type="dxa"/>
            <w:gridSpan w:val="2"/>
          </w:tcPr>
          <w:p w14:paraId="52D55215" w14:textId="77777777" w:rsidR="006A18FE" w:rsidRPr="007E6C65" w:rsidRDefault="006A18FE" w:rsidP="00ED0709">
            <w:pPr>
              <w:jc w:val="center"/>
              <w:rPr>
                <w:rFonts w:ascii="Times New Roman" w:hAnsi="Times New Roman" w:cs="Times New Roman"/>
                <w:b/>
                <w:bCs/>
                <w:sz w:val="24"/>
                <w:szCs w:val="24"/>
                <w:lang w:val="lt-LT"/>
              </w:rPr>
            </w:pPr>
          </w:p>
        </w:tc>
        <w:tc>
          <w:tcPr>
            <w:tcW w:w="5012" w:type="dxa"/>
          </w:tcPr>
          <w:p w14:paraId="5CBACC77" w14:textId="3B649C6F" w:rsidR="006A18FE" w:rsidRPr="007E6C65" w:rsidRDefault="006A18FE" w:rsidP="00EE7F88">
            <w:pPr>
              <w:jc w:val="both"/>
              <w:rPr>
                <w:rFonts w:ascii="Times New Roman" w:hAnsi="Times New Roman" w:cs="Times New Roman"/>
                <w:b/>
                <w:bCs/>
                <w:color w:val="000000"/>
                <w:sz w:val="24"/>
                <w:szCs w:val="24"/>
                <w:lang w:val="lt-LT"/>
              </w:rPr>
            </w:pPr>
            <w:r w:rsidRPr="007E6C65">
              <w:rPr>
                <w:rFonts w:ascii="Times New Roman" w:hAnsi="Times New Roman" w:cs="Times New Roman"/>
                <w:b/>
                <w:bCs/>
                <w:color w:val="000000"/>
                <w:sz w:val="24"/>
                <w:szCs w:val="24"/>
                <w:lang w:val="lt-LT"/>
              </w:rPr>
              <w:t>TECHNINIAI REIKALAVIMAI</w:t>
            </w:r>
          </w:p>
        </w:tc>
        <w:tc>
          <w:tcPr>
            <w:tcW w:w="2998" w:type="dxa"/>
          </w:tcPr>
          <w:p w14:paraId="47E1C12C" w14:textId="67A703A1" w:rsidR="006A18FE" w:rsidRPr="007E6C65" w:rsidRDefault="006A18FE" w:rsidP="00130B25">
            <w:pPr>
              <w:jc w:val="center"/>
              <w:rPr>
                <w:rFonts w:ascii="Times New Roman" w:hAnsi="Times New Roman" w:cs="Times New Roman"/>
                <w:b/>
                <w:bCs/>
                <w:color w:val="000000"/>
                <w:sz w:val="24"/>
                <w:szCs w:val="24"/>
                <w:lang w:val="lt-LT"/>
              </w:rPr>
            </w:pPr>
            <w:r w:rsidRPr="007E6C65">
              <w:rPr>
                <w:rFonts w:ascii="Times New Roman" w:hAnsi="Times New Roman" w:cs="Times New Roman"/>
                <w:b/>
                <w:bCs/>
                <w:color w:val="000000"/>
                <w:sz w:val="24"/>
                <w:szCs w:val="24"/>
                <w:lang w:val="lt-LT"/>
              </w:rPr>
              <w:t>TIEKĖJO SIŪLOMŲ TRANSPORTO PRIEMONIŲ TECHNINĖS CHARAKTERISTIKOS</w:t>
            </w:r>
            <w:r w:rsidR="00F730A0" w:rsidRPr="007E6C65">
              <w:rPr>
                <w:rFonts w:ascii="Times New Roman" w:hAnsi="Times New Roman" w:cs="Times New Roman"/>
                <w:b/>
                <w:bCs/>
                <w:color w:val="000000"/>
                <w:sz w:val="24"/>
                <w:szCs w:val="24"/>
                <w:lang w:val="lt-LT"/>
              </w:rPr>
              <w:t xml:space="preserve"> (pildo tiekėjas)</w:t>
            </w:r>
          </w:p>
        </w:tc>
      </w:tr>
      <w:tr w:rsidR="006A18FE" w:rsidRPr="007E6C65" w14:paraId="65425001" w14:textId="3ABCA0CF" w:rsidTr="006A18FE">
        <w:tc>
          <w:tcPr>
            <w:tcW w:w="456" w:type="dxa"/>
          </w:tcPr>
          <w:p w14:paraId="63D34AEE" w14:textId="6A4669FD"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1</w:t>
            </w:r>
          </w:p>
        </w:tc>
        <w:tc>
          <w:tcPr>
            <w:tcW w:w="2064" w:type="dxa"/>
          </w:tcPr>
          <w:p w14:paraId="3454F114" w14:textId="03475D4F"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Tipas</w:t>
            </w:r>
          </w:p>
        </w:tc>
        <w:tc>
          <w:tcPr>
            <w:tcW w:w="5012" w:type="dxa"/>
          </w:tcPr>
          <w:p w14:paraId="39B1637C" w14:textId="40584383" w:rsidR="006A18FE" w:rsidRPr="007E6C65" w:rsidRDefault="006A18FE" w:rsidP="00E53243">
            <w:pPr>
              <w:jc w:val="both"/>
              <w:rPr>
                <w:rFonts w:ascii="Times New Roman" w:hAnsi="Times New Roman" w:cs="Times New Roman"/>
                <w:color w:val="000000"/>
                <w:sz w:val="24"/>
                <w:szCs w:val="24"/>
                <w:lang w:val="lt-LT"/>
              </w:rPr>
            </w:pPr>
            <w:r w:rsidRPr="007E6C65">
              <w:rPr>
                <w:color w:val="000000"/>
                <w:lang w:val="lt-LT"/>
              </w:rPr>
              <w:t>M</w:t>
            </w:r>
            <w:r w:rsidRPr="007E6C65">
              <w:rPr>
                <w:color w:val="000000"/>
                <w:vertAlign w:val="subscript"/>
                <w:lang w:val="lt-LT"/>
              </w:rPr>
              <w:t>3</w:t>
            </w:r>
            <w:r w:rsidRPr="007E6C65">
              <w:rPr>
                <w:rFonts w:ascii="Times New Roman" w:hAnsi="Times New Roman" w:cs="Times New Roman"/>
                <w:color w:val="000000"/>
                <w:sz w:val="24"/>
                <w:szCs w:val="24"/>
                <w:lang w:val="lt-LT"/>
              </w:rPr>
              <w:t xml:space="preserve"> klasė, kėbulų kodai CE (apie </w:t>
            </w:r>
            <w:r w:rsidR="00E53243">
              <w:rPr>
                <w:rFonts w:ascii="Times New Roman" w:hAnsi="Times New Roman" w:cs="Times New Roman"/>
                <w:color w:val="000000"/>
                <w:sz w:val="24"/>
                <w:szCs w:val="24"/>
                <w:lang w:val="lt-LT"/>
              </w:rPr>
              <w:t>7-9</w:t>
            </w:r>
            <w:r w:rsidRPr="007E6C65">
              <w:rPr>
                <w:rFonts w:ascii="Times New Roman" w:hAnsi="Times New Roman" w:cs="Times New Roman"/>
                <w:color w:val="000000"/>
                <w:sz w:val="24"/>
                <w:szCs w:val="24"/>
                <w:lang w:val="lt-LT"/>
              </w:rPr>
              <w:t xml:space="preserve"> metrų ilgio</w:t>
            </w:r>
            <w:r w:rsidR="00C54AA0" w:rsidRPr="007E6C65">
              <w:rPr>
                <w:rFonts w:ascii="Times New Roman" w:hAnsi="Times New Roman" w:cs="Times New Roman"/>
                <w:color w:val="000000"/>
                <w:sz w:val="24"/>
                <w:szCs w:val="24"/>
                <w:lang w:val="lt-LT"/>
              </w:rPr>
              <w:t>)</w:t>
            </w:r>
          </w:p>
        </w:tc>
        <w:tc>
          <w:tcPr>
            <w:tcW w:w="2998" w:type="dxa"/>
          </w:tcPr>
          <w:p w14:paraId="7171E749" w14:textId="77777777" w:rsidR="006A18FE" w:rsidRPr="007E6C65" w:rsidRDefault="006A18FE" w:rsidP="00EE7F88">
            <w:pPr>
              <w:jc w:val="both"/>
              <w:rPr>
                <w:color w:val="000000"/>
                <w:lang w:val="lt-LT"/>
              </w:rPr>
            </w:pPr>
          </w:p>
        </w:tc>
      </w:tr>
      <w:tr w:rsidR="006A18FE" w:rsidRPr="007E6C65" w14:paraId="0B2015D4" w14:textId="39C2BD4D" w:rsidTr="006A18FE">
        <w:tc>
          <w:tcPr>
            <w:tcW w:w="456" w:type="dxa"/>
          </w:tcPr>
          <w:p w14:paraId="487AAB3C" w14:textId="2A5CF903"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2</w:t>
            </w:r>
          </w:p>
        </w:tc>
        <w:tc>
          <w:tcPr>
            <w:tcW w:w="2064" w:type="dxa"/>
          </w:tcPr>
          <w:p w14:paraId="3C042CE7" w14:textId="1A081DA7"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Kiekis</w:t>
            </w:r>
          </w:p>
        </w:tc>
        <w:tc>
          <w:tcPr>
            <w:tcW w:w="5012" w:type="dxa"/>
          </w:tcPr>
          <w:p w14:paraId="073B5B09" w14:textId="182E877C" w:rsidR="006A18FE" w:rsidRPr="007E6C65" w:rsidRDefault="00D84D4B" w:rsidP="00E53243">
            <w:pPr>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6A18FE" w:rsidRPr="007E6C65">
              <w:rPr>
                <w:rFonts w:ascii="Times New Roman" w:hAnsi="Times New Roman" w:cs="Times New Roman"/>
                <w:sz w:val="24"/>
                <w:szCs w:val="24"/>
                <w:lang w:val="lt-LT"/>
              </w:rPr>
              <w:t xml:space="preserve"> vnt. (</w:t>
            </w:r>
            <w:r>
              <w:rPr>
                <w:rFonts w:ascii="Times New Roman" w:hAnsi="Times New Roman" w:cs="Times New Roman"/>
                <w:sz w:val="24"/>
                <w:szCs w:val="24"/>
                <w:lang w:val="lt-LT"/>
              </w:rPr>
              <w:t>1</w:t>
            </w:r>
            <w:r w:rsidR="006A18FE" w:rsidRPr="007E6C65">
              <w:rPr>
                <w:rFonts w:ascii="Times New Roman" w:hAnsi="Times New Roman" w:cs="Times New Roman"/>
                <w:sz w:val="24"/>
                <w:szCs w:val="24"/>
                <w:lang w:val="lt-LT"/>
              </w:rPr>
              <w:t xml:space="preserve"> pagrindinės važiuojančios transporto priemonės, ne mažiau </w:t>
            </w:r>
            <w:r>
              <w:rPr>
                <w:rFonts w:ascii="Times New Roman" w:hAnsi="Times New Roman" w:cs="Times New Roman"/>
                <w:sz w:val="24"/>
                <w:szCs w:val="24"/>
                <w:lang w:val="lt-LT"/>
              </w:rPr>
              <w:t>1</w:t>
            </w:r>
            <w:r w:rsidR="006A18FE" w:rsidRPr="007E6C65">
              <w:rPr>
                <w:rFonts w:ascii="Times New Roman" w:hAnsi="Times New Roman" w:cs="Times New Roman"/>
                <w:sz w:val="24"/>
                <w:szCs w:val="24"/>
                <w:lang w:val="lt-LT"/>
              </w:rPr>
              <w:t xml:space="preserve"> rezervinės transporto priemonės</w:t>
            </w:r>
            <w:r w:rsidR="005E1BBA">
              <w:rPr>
                <w:rFonts w:ascii="Times New Roman" w:hAnsi="Times New Roman" w:cs="Times New Roman"/>
                <w:sz w:val="24"/>
                <w:szCs w:val="24"/>
                <w:lang w:val="lt-LT"/>
              </w:rPr>
              <w:t>.</w:t>
            </w:r>
          </w:p>
        </w:tc>
        <w:tc>
          <w:tcPr>
            <w:tcW w:w="2998" w:type="dxa"/>
          </w:tcPr>
          <w:p w14:paraId="7EE50E75" w14:textId="77777777" w:rsidR="006A18FE" w:rsidRPr="007E6C65" w:rsidRDefault="006A18FE" w:rsidP="00400708">
            <w:pPr>
              <w:jc w:val="both"/>
              <w:rPr>
                <w:rFonts w:ascii="Times New Roman" w:hAnsi="Times New Roman" w:cs="Times New Roman"/>
                <w:sz w:val="24"/>
                <w:szCs w:val="24"/>
                <w:lang w:val="lt-LT"/>
              </w:rPr>
            </w:pPr>
          </w:p>
        </w:tc>
      </w:tr>
      <w:tr w:rsidR="006A18FE" w:rsidRPr="007E6C65" w14:paraId="715B3E4F" w14:textId="34689664" w:rsidTr="006A18FE">
        <w:tc>
          <w:tcPr>
            <w:tcW w:w="456" w:type="dxa"/>
          </w:tcPr>
          <w:p w14:paraId="3FC6C348" w14:textId="0AE0B532"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3</w:t>
            </w:r>
          </w:p>
        </w:tc>
        <w:tc>
          <w:tcPr>
            <w:tcW w:w="2064" w:type="dxa"/>
          </w:tcPr>
          <w:p w14:paraId="68F22A46" w14:textId="25080579"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Amžius</w:t>
            </w:r>
          </w:p>
        </w:tc>
        <w:tc>
          <w:tcPr>
            <w:tcW w:w="5012" w:type="dxa"/>
          </w:tcPr>
          <w:p w14:paraId="2D4CAB7A" w14:textId="4108CA5C" w:rsidR="006A18FE" w:rsidRPr="007E6C65" w:rsidRDefault="00296DC8" w:rsidP="00E44AE7">
            <w:pPr>
              <w:jc w:val="both"/>
              <w:rPr>
                <w:rFonts w:ascii="Times New Roman" w:hAnsi="Times New Roman" w:cs="Times New Roman"/>
                <w:sz w:val="24"/>
                <w:szCs w:val="24"/>
                <w:lang w:val="lt-LT"/>
              </w:rPr>
            </w:pPr>
            <w:r w:rsidRPr="007E6C65">
              <w:rPr>
                <w:rFonts w:ascii="Times New Roman" w:eastAsia="SimSun" w:hAnsi="Times New Roman" w:cs="Times New Roman"/>
                <w:sz w:val="24"/>
                <w:szCs w:val="24"/>
                <w:lang w:val="lt-LT" w:eastAsia="x-none"/>
              </w:rPr>
              <w:t>T</w:t>
            </w:r>
            <w:r w:rsidR="006A18FE" w:rsidRPr="007E6C65">
              <w:rPr>
                <w:rFonts w:ascii="Times New Roman" w:eastAsia="SimSun" w:hAnsi="Times New Roman" w:cs="Times New Roman"/>
                <w:sz w:val="24"/>
                <w:szCs w:val="24"/>
                <w:lang w:val="lt-LT" w:eastAsia="x-none"/>
              </w:rPr>
              <w:t xml:space="preserve">ransporto priemonės, </w:t>
            </w:r>
            <w:r w:rsidR="00B51FA3">
              <w:rPr>
                <w:rFonts w:ascii="Times New Roman" w:eastAsia="SimSun" w:hAnsi="Times New Roman" w:cs="Times New Roman"/>
                <w:sz w:val="24"/>
                <w:szCs w:val="24"/>
                <w:lang w:val="lt-LT" w:eastAsia="x-none"/>
              </w:rPr>
              <w:t xml:space="preserve">ne </w:t>
            </w:r>
            <w:r w:rsidR="006A18FE" w:rsidRPr="007E6C65">
              <w:rPr>
                <w:rFonts w:ascii="Times New Roman" w:eastAsia="SimSun" w:hAnsi="Times New Roman" w:cs="Times New Roman"/>
                <w:sz w:val="24"/>
                <w:szCs w:val="24"/>
                <w:lang w:val="lt-LT" w:eastAsia="x-none"/>
              </w:rPr>
              <w:t xml:space="preserve">ankstesnės nei </w:t>
            </w:r>
            <w:r w:rsidR="005A4D83" w:rsidRPr="007E6C65">
              <w:rPr>
                <w:rFonts w:ascii="Times New Roman" w:eastAsia="SimSun" w:hAnsi="Times New Roman" w:cs="Times New Roman"/>
                <w:sz w:val="24"/>
                <w:szCs w:val="24"/>
                <w:lang w:val="lt-LT" w:eastAsia="x-none"/>
              </w:rPr>
              <w:t>20</w:t>
            </w:r>
            <w:r w:rsidR="005A4D83">
              <w:rPr>
                <w:rFonts w:ascii="Times New Roman" w:eastAsia="SimSun" w:hAnsi="Times New Roman" w:cs="Times New Roman"/>
                <w:sz w:val="24"/>
                <w:szCs w:val="24"/>
                <w:lang w:val="lt-LT" w:eastAsia="x-none"/>
              </w:rPr>
              <w:t>24</w:t>
            </w:r>
            <w:r w:rsidR="005A4D83" w:rsidRPr="007E6C65">
              <w:rPr>
                <w:rFonts w:ascii="Times New Roman" w:eastAsia="SimSun" w:hAnsi="Times New Roman" w:cs="Times New Roman"/>
                <w:sz w:val="24"/>
                <w:szCs w:val="24"/>
                <w:lang w:val="lt-LT" w:eastAsia="x-none"/>
              </w:rPr>
              <w:t xml:space="preserve"> </w:t>
            </w:r>
            <w:r w:rsidR="006A18FE" w:rsidRPr="007E6C65">
              <w:rPr>
                <w:rFonts w:ascii="Times New Roman" w:eastAsia="SimSun" w:hAnsi="Times New Roman" w:cs="Times New Roman"/>
                <w:sz w:val="24"/>
                <w:szCs w:val="24"/>
                <w:lang w:val="lt-LT" w:eastAsia="x-none"/>
              </w:rPr>
              <w:t xml:space="preserve">metų </w:t>
            </w:r>
            <w:r w:rsidR="00DB3D1D">
              <w:rPr>
                <w:rFonts w:ascii="Times New Roman" w:eastAsia="SimSun" w:hAnsi="Times New Roman" w:cs="Times New Roman"/>
                <w:sz w:val="24"/>
                <w:szCs w:val="24"/>
                <w:lang w:val="lt-LT" w:eastAsia="x-none"/>
              </w:rPr>
              <w:t>pirmos registracijos</w:t>
            </w:r>
          </w:p>
        </w:tc>
        <w:tc>
          <w:tcPr>
            <w:tcW w:w="2998" w:type="dxa"/>
          </w:tcPr>
          <w:p w14:paraId="2B5E45C8" w14:textId="77777777" w:rsidR="006A18FE" w:rsidRPr="007E6C65" w:rsidRDefault="006A18FE" w:rsidP="00F85C36">
            <w:pPr>
              <w:jc w:val="both"/>
              <w:rPr>
                <w:rFonts w:ascii="Times New Roman" w:eastAsia="SimSun" w:hAnsi="Times New Roman" w:cs="Times New Roman"/>
                <w:sz w:val="24"/>
                <w:szCs w:val="24"/>
                <w:lang w:val="lt-LT" w:eastAsia="x-none"/>
              </w:rPr>
            </w:pPr>
          </w:p>
        </w:tc>
      </w:tr>
      <w:tr w:rsidR="0060185F" w:rsidRPr="007E6C65" w14:paraId="28E17E02" w14:textId="5AA7E01F" w:rsidTr="00D84D4B">
        <w:tc>
          <w:tcPr>
            <w:tcW w:w="456" w:type="dxa"/>
          </w:tcPr>
          <w:p w14:paraId="338D3485" w14:textId="745BC27F" w:rsidR="0060185F" w:rsidRPr="007E6C65" w:rsidRDefault="0060185F"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4</w:t>
            </w:r>
          </w:p>
        </w:tc>
        <w:tc>
          <w:tcPr>
            <w:tcW w:w="2064" w:type="dxa"/>
            <w:vMerge w:val="restart"/>
            <w:vAlign w:val="center"/>
          </w:tcPr>
          <w:p w14:paraId="29CF6E37" w14:textId="5C67E9F1" w:rsidR="0060185F" w:rsidRPr="00ED1DBA" w:rsidRDefault="0060185F" w:rsidP="0060185F">
            <w:pPr>
              <w:jc w:val="center"/>
              <w:rPr>
                <w:rFonts w:ascii="Times New Roman" w:hAnsi="Times New Roman" w:cs="Times New Roman"/>
                <w:b/>
                <w:sz w:val="24"/>
                <w:szCs w:val="24"/>
                <w:vertAlign w:val="superscript"/>
                <w:lang w:val="lt-LT"/>
              </w:rPr>
            </w:pPr>
            <w:r w:rsidRPr="007E6C65">
              <w:rPr>
                <w:rFonts w:ascii="Times New Roman" w:hAnsi="Times New Roman" w:cs="Times New Roman"/>
                <w:b/>
                <w:sz w:val="24"/>
                <w:szCs w:val="24"/>
                <w:lang w:val="lt-LT"/>
              </w:rPr>
              <w:t>Kuro rūšis/</w:t>
            </w:r>
            <w:r w:rsidR="008523DA">
              <w:rPr>
                <w:rFonts w:ascii="Times New Roman" w:hAnsi="Times New Roman" w:cs="Times New Roman"/>
                <w:b/>
                <w:sz w:val="24"/>
                <w:szCs w:val="24"/>
                <w:vertAlign w:val="superscript"/>
                <w:lang w:val="lt-LT"/>
              </w:rPr>
              <w:t>1</w:t>
            </w:r>
          </w:p>
          <w:p w14:paraId="4B249BE5" w14:textId="15C40368" w:rsidR="0060185F" w:rsidRPr="007E6C65" w:rsidRDefault="0060185F" w:rsidP="0060185F">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Aplinkosaugos reikalavimai</w:t>
            </w:r>
          </w:p>
        </w:tc>
        <w:tc>
          <w:tcPr>
            <w:tcW w:w="5012" w:type="dxa"/>
            <w:vMerge w:val="restart"/>
            <w:vAlign w:val="center"/>
          </w:tcPr>
          <w:p w14:paraId="567D8844" w14:textId="5D82EFFD" w:rsidR="0060185F" w:rsidRPr="00A53298" w:rsidRDefault="00D84D4B" w:rsidP="00E53243">
            <w:pPr>
              <w:jc w:val="both"/>
              <w:rPr>
                <w:rFonts w:ascii="Times New Roman" w:hAnsi="Times New Roman" w:cs="Times New Roman"/>
                <w:sz w:val="24"/>
                <w:szCs w:val="24"/>
                <w:lang w:val="lt-LT"/>
              </w:rPr>
            </w:pPr>
            <w:r w:rsidRPr="00A53298">
              <w:rPr>
                <w:rFonts w:ascii="Times New Roman" w:hAnsi="Times New Roman" w:cs="Times New Roman"/>
                <w:sz w:val="24"/>
                <w:szCs w:val="24"/>
                <w:lang w:val="lt-LT"/>
              </w:rPr>
              <w:t>Elektra</w:t>
            </w:r>
            <w:r w:rsidR="005E1BBA" w:rsidRPr="00A53298">
              <w:rPr>
                <w:rFonts w:ascii="Times New Roman" w:eastAsia="Arial Unicode MS" w:hAnsi="Times New Roman" w:cs="Times New Roman"/>
                <w:sz w:val="24"/>
                <w:szCs w:val="24"/>
              </w:rPr>
              <w:t xml:space="preserve"> </w:t>
            </w:r>
          </w:p>
        </w:tc>
        <w:tc>
          <w:tcPr>
            <w:tcW w:w="2998" w:type="dxa"/>
            <w:vMerge w:val="restart"/>
          </w:tcPr>
          <w:p w14:paraId="754DF6A0" w14:textId="77777777" w:rsidR="0060185F" w:rsidRPr="007E6C65" w:rsidRDefault="0060185F" w:rsidP="00F85C36">
            <w:pPr>
              <w:jc w:val="both"/>
              <w:rPr>
                <w:rFonts w:ascii="Times New Roman" w:eastAsia="SimSun" w:hAnsi="Times New Roman" w:cs="Times New Roman"/>
                <w:sz w:val="24"/>
                <w:szCs w:val="24"/>
                <w:lang w:val="lt-LT" w:eastAsia="x-none"/>
              </w:rPr>
            </w:pPr>
          </w:p>
        </w:tc>
      </w:tr>
      <w:tr w:rsidR="0060185F" w:rsidRPr="007E6C65" w14:paraId="578BC9D2" w14:textId="4AFB5182" w:rsidTr="006A18FE">
        <w:tc>
          <w:tcPr>
            <w:tcW w:w="456" w:type="dxa"/>
          </w:tcPr>
          <w:p w14:paraId="41636CEF" w14:textId="7F4182C9" w:rsidR="0060185F" w:rsidRPr="007E6C65" w:rsidRDefault="0060185F" w:rsidP="00ED0709">
            <w:pPr>
              <w:jc w:val="center"/>
              <w:rPr>
                <w:rFonts w:ascii="Times New Roman" w:hAnsi="Times New Roman" w:cs="Times New Roman"/>
                <w:bCs/>
                <w:sz w:val="24"/>
                <w:szCs w:val="24"/>
                <w:highlight w:val="yellow"/>
                <w:lang w:val="lt-LT"/>
              </w:rPr>
            </w:pPr>
            <w:r w:rsidRPr="007E6C65">
              <w:rPr>
                <w:rFonts w:ascii="Times New Roman" w:hAnsi="Times New Roman" w:cs="Times New Roman"/>
                <w:bCs/>
                <w:sz w:val="24"/>
                <w:szCs w:val="24"/>
                <w:lang w:val="lt-LT"/>
              </w:rPr>
              <w:t>5</w:t>
            </w:r>
          </w:p>
        </w:tc>
        <w:tc>
          <w:tcPr>
            <w:tcW w:w="2064" w:type="dxa"/>
            <w:vMerge/>
          </w:tcPr>
          <w:p w14:paraId="11975DF8" w14:textId="03C4A3E0" w:rsidR="0060185F" w:rsidRPr="007E6C65" w:rsidRDefault="0060185F" w:rsidP="00ED0709">
            <w:pPr>
              <w:jc w:val="center"/>
              <w:rPr>
                <w:rFonts w:ascii="Times New Roman" w:hAnsi="Times New Roman" w:cs="Times New Roman"/>
                <w:b/>
                <w:sz w:val="24"/>
                <w:szCs w:val="24"/>
                <w:lang w:val="lt-LT"/>
              </w:rPr>
            </w:pPr>
          </w:p>
        </w:tc>
        <w:tc>
          <w:tcPr>
            <w:tcW w:w="5012" w:type="dxa"/>
            <w:vMerge/>
          </w:tcPr>
          <w:p w14:paraId="76FCB3D4" w14:textId="1B161661" w:rsidR="0060185F" w:rsidRPr="007E6C65" w:rsidRDefault="0060185F" w:rsidP="00F85C36">
            <w:pPr>
              <w:jc w:val="both"/>
              <w:rPr>
                <w:rFonts w:ascii="Times New Roman" w:eastAsia="SimSun" w:hAnsi="Times New Roman" w:cs="Times New Roman"/>
                <w:sz w:val="24"/>
                <w:szCs w:val="24"/>
                <w:lang w:val="lt-LT" w:eastAsia="x-none"/>
              </w:rPr>
            </w:pPr>
          </w:p>
        </w:tc>
        <w:tc>
          <w:tcPr>
            <w:tcW w:w="2998" w:type="dxa"/>
            <w:vMerge/>
          </w:tcPr>
          <w:p w14:paraId="2672CBF5" w14:textId="77777777" w:rsidR="0060185F" w:rsidRPr="007E6C65" w:rsidRDefault="0060185F" w:rsidP="00F85C36">
            <w:pPr>
              <w:jc w:val="both"/>
              <w:rPr>
                <w:rFonts w:ascii="Times New Roman" w:eastAsia="SimSun" w:hAnsi="Times New Roman" w:cs="Times New Roman"/>
                <w:sz w:val="24"/>
                <w:szCs w:val="24"/>
                <w:lang w:val="lt-LT" w:eastAsia="x-none"/>
              </w:rPr>
            </w:pPr>
          </w:p>
        </w:tc>
      </w:tr>
      <w:tr w:rsidR="006A18FE" w:rsidRPr="007E6C65" w14:paraId="3EFDCB74" w14:textId="1D0746C7" w:rsidTr="006A18FE">
        <w:tc>
          <w:tcPr>
            <w:tcW w:w="456" w:type="dxa"/>
          </w:tcPr>
          <w:p w14:paraId="03BCBD63" w14:textId="25107979"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6</w:t>
            </w:r>
          </w:p>
        </w:tc>
        <w:tc>
          <w:tcPr>
            <w:tcW w:w="2064" w:type="dxa"/>
          </w:tcPr>
          <w:p w14:paraId="46617597" w14:textId="2171A9BA"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Vietų skaičius</w:t>
            </w:r>
          </w:p>
        </w:tc>
        <w:tc>
          <w:tcPr>
            <w:tcW w:w="5012" w:type="dxa"/>
          </w:tcPr>
          <w:p w14:paraId="23E90F54" w14:textId="0050E6A5" w:rsidR="006A18FE" w:rsidRPr="007E6C65" w:rsidRDefault="00D84D4B" w:rsidP="0054366A">
            <w:pPr>
              <w:tabs>
                <w:tab w:val="left" w:pos="327"/>
                <w:tab w:val="left" w:pos="432"/>
              </w:tabs>
              <w:jc w:val="both"/>
              <w:rPr>
                <w:rFonts w:ascii="Times New Roman" w:eastAsia="SimSun" w:hAnsi="Times New Roman" w:cs="Times New Roman"/>
                <w:sz w:val="24"/>
                <w:szCs w:val="24"/>
                <w:lang w:val="lt-LT" w:eastAsia="x-none"/>
              </w:rPr>
            </w:pPr>
            <w:r>
              <w:rPr>
                <w:rFonts w:ascii="Times New Roman" w:eastAsia="SimSun" w:hAnsi="Times New Roman" w:cs="Times New Roman"/>
                <w:sz w:val="24"/>
                <w:szCs w:val="24"/>
                <w:lang w:val="lt-LT" w:eastAsia="x-none"/>
              </w:rPr>
              <w:t>N</w:t>
            </w:r>
            <w:r w:rsidRPr="00A777A7">
              <w:rPr>
                <w:rFonts w:ascii="Times New Roman" w:eastAsia="SimSun" w:hAnsi="Times New Roman" w:cs="Times New Roman"/>
                <w:sz w:val="24"/>
                <w:szCs w:val="24"/>
                <w:lang w:val="lt-LT" w:eastAsia="x-none"/>
              </w:rPr>
              <w:t>e mažiau 18 sėdimų vietų,</w:t>
            </w:r>
            <w:r>
              <w:rPr>
                <w:rFonts w:ascii="Times New Roman" w:eastAsia="SimSun" w:hAnsi="Times New Roman" w:cs="Times New Roman"/>
                <w:sz w:val="24"/>
                <w:szCs w:val="24"/>
                <w:lang w:val="lt-LT" w:eastAsia="x-none"/>
              </w:rPr>
              <w:t xml:space="preserve"> </w:t>
            </w:r>
            <w:r w:rsidRPr="00A777A7">
              <w:rPr>
                <w:rFonts w:ascii="Times New Roman" w:eastAsia="SimSun" w:hAnsi="Times New Roman" w:cs="Times New Roman"/>
                <w:sz w:val="24"/>
                <w:szCs w:val="24"/>
                <w:lang w:val="lt-LT" w:eastAsia="x-none"/>
              </w:rPr>
              <w:t>neįskaitant vairuotojo vietos</w:t>
            </w:r>
            <w:r>
              <w:rPr>
                <w:rFonts w:ascii="Times New Roman" w:eastAsia="SimSun" w:hAnsi="Times New Roman" w:cs="Times New Roman"/>
                <w:sz w:val="24"/>
                <w:szCs w:val="24"/>
                <w:lang w:val="lt-LT" w:eastAsia="x-none"/>
              </w:rPr>
              <w:t>.</w:t>
            </w:r>
            <w:r>
              <w:rPr>
                <w:rFonts w:ascii="Times New Roman" w:eastAsia="SimSun" w:hAnsi="Times New Roman" w:cs="Times New Roman"/>
                <w:sz w:val="24"/>
                <w:szCs w:val="24"/>
                <w:lang w:val="lt-LT" w:eastAsia="x-none"/>
              </w:rPr>
              <w:br/>
              <w:t xml:space="preserve">Ne mažiau </w:t>
            </w:r>
            <w:r w:rsidRPr="00D84D4B">
              <w:rPr>
                <w:rFonts w:ascii="Times New Roman" w:eastAsia="SimSun" w:hAnsi="Times New Roman" w:cs="Times New Roman"/>
                <w:sz w:val="24"/>
                <w:szCs w:val="24"/>
                <w:lang w:val="lt-LT" w:eastAsia="x-none"/>
              </w:rPr>
              <w:t>30</w:t>
            </w:r>
            <w:r w:rsidRPr="00A53298">
              <w:rPr>
                <w:rFonts w:ascii="Times New Roman" w:eastAsia="SimSun" w:hAnsi="Times New Roman" w:cs="Times New Roman"/>
                <w:color w:val="EE0000"/>
                <w:sz w:val="24"/>
                <w:szCs w:val="24"/>
                <w:lang w:val="lt-LT" w:eastAsia="x-none"/>
              </w:rPr>
              <w:t xml:space="preserve"> </w:t>
            </w:r>
            <w:r>
              <w:rPr>
                <w:rFonts w:ascii="Times New Roman" w:eastAsia="SimSun" w:hAnsi="Times New Roman" w:cs="Times New Roman"/>
                <w:sz w:val="24"/>
                <w:szCs w:val="24"/>
                <w:lang w:val="lt-LT" w:eastAsia="x-none"/>
              </w:rPr>
              <w:t>vietų keleiviams iš viso (sėdimos + stovimos)</w:t>
            </w:r>
          </w:p>
        </w:tc>
        <w:tc>
          <w:tcPr>
            <w:tcW w:w="2998" w:type="dxa"/>
          </w:tcPr>
          <w:p w14:paraId="3B3312CA" w14:textId="77777777" w:rsidR="006A18FE" w:rsidRPr="007E6C65" w:rsidRDefault="006A18FE" w:rsidP="00EE7F88">
            <w:pPr>
              <w:tabs>
                <w:tab w:val="left" w:pos="327"/>
                <w:tab w:val="left" w:pos="432"/>
              </w:tabs>
              <w:jc w:val="both"/>
              <w:rPr>
                <w:rFonts w:ascii="Times New Roman" w:eastAsia="SimSun" w:hAnsi="Times New Roman" w:cs="Times New Roman"/>
                <w:sz w:val="24"/>
                <w:szCs w:val="24"/>
                <w:lang w:val="lt-LT" w:eastAsia="x-none"/>
              </w:rPr>
            </w:pPr>
          </w:p>
        </w:tc>
      </w:tr>
      <w:tr w:rsidR="006A18FE" w:rsidRPr="007E6C65" w14:paraId="1C4B50EC" w14:textId="3164A8B3" w:rsidTr="006A18FE">
        <w:tc>
          <w:tcPr>
            <w:tcW w:w="456" w:type="dxa"/>
            <w:tcBorders>
              <w:top w:val="single" w:sz="4" w:space="0" w:color="auto"/>
              <w:left w:val="single" w:sz="4" w:space="0" w:color="auto"/>
              <w:bottom w:val="single" w:sz="4" w:space="0" w:color="auto"/>
              <w:right w:val="single" w:sz="4" w:space="0" w:color="auto"/>
            </w:tcBorders>
          </w:tcPr>
          <w:p w14:paraId="5353748D" w14:textId="17F87F09" w:rsidR="006A18FE" w:rsidRPr="007E6C65" w:rsidRDefault="006A18FE">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7</w:t>
            </w:r>
          </w:p>
        </w:tc>
        <w:tc>
          <w:tcPr>
            <w:tcW w:w="2064" w:type="dxa"/>
            <w:tcBorders>
              <w:top w:val="single" w:sz="4" w:space="0" w:color="auto"/>
              <w:left w:val="single" w:sz="4" w:space="0" w:color="auto"/>
              <w:bottom w:val="single" w:sz="4" w:space="0" w:color="auto"/>
              <w:right w:val="single" w:sz="4" w:space="0" w:color="auto"/>
            </w:tcBorders>
            <w:hideMark/>
          </w:tcPr>
          <w:p w14:paraId="4B2C5D68" w14:textId="6FDAE836" w:rsidR="006A18FE" w:rsidRPr="007E6C65" w:rsidRDefault="006A18FE">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Transporto priemonių apipavidalinimas</w:t>
            </w:r>
          </w:p>
        </w:tc>
        <w:tc>
          <w:tcPr>
            <w:tcW w:w="5012" w:type="dxa"/>
            <w:tcBorders>
              <w:top w:val="single" w:sz="4" w:space="0" w:color="auto"/>
              <w:left w:val="single" w:sz="4" w:space="0" w:color="auto"/>
              <w:bottom w:val="single" w:sz="4" w:space="0" w:color="auto"/>
              <w:right w:val="single" w:sz="4" w:space="0" w:color="auto"/>
            </w:tcBorders>
            <w:hideMark/>
          </w:tcPr>
          <w:p w14:paraId="224B79FB" w14:textId="77777777" w:rsidR="006A18FE" w:rsidRPr="007E6C65" w:rsidRDefault="006A18FE" w:rsidP="007A4618">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Mėlyna spalva – spalvos kodas pagal NCS – S 3060-R90B</w:t>
            </w:r>
          </w:p>
          <w:p w14:paraId="57095694" w14:textId="7DACAB6F" w:rsidR="006A18FE" w:rsidRPr="007E6C65" w:rsidRDefault="006A18FE" w:rsidP="007A4618">
            <w:pPr>
              <w:ind w:right="88"/>
              <w:jc w:val="both"/>
              <w:rPr>
                <w:rFonts w:ascii="Times New Roman" w:hAnsi="Times New Roman" w:cs="Times New Roman"/>
                <w:sz w:val="24"/>
                <w:szCs w:val="24"/>
                <w:highlight w:val="red"/>
                <w:lang w:val="lt-LT"/>
              </w:rPr>
            </w:pPr>
            <w:r w:rsidRPr="007E6C65">
              <w:rPr>
                <w:rFonts w:ascii="Times New Roman" w:hAnsi="Times New Roman" w:cs="Times New Roman"/>
                <w:sz w:val="24"/>
                <w:szCs w:val="24"/>
                <w:lang w:val="lt-LT"/>
              </w:rPr>
              <w:t xml:space="preserve">Vėliavos spalvų juosta: geltonos (spalvos kodas pagal NCS – S 0580-Y10R) ir raudonos (spalvos kodas pagal NCS – S 0085-Y90R) spalvų; </w:t>
            </w:r>
            <w:r w:rsidRPr="007E6C65">
              <w:rPr>
                <w:rFonts w:ascii="Times New Roman" w:hAnsi="Times New Roman" w:cs="Times New Roman"/>
                <w:sz w:val="24"/>
                <w:szCs w:val="24"/>
                <w:highlight w:val="red"/>
                <w:lang w:val="lt-LT"/>
              </w:rPr>
              <w:br/>
            </w:r>
            <w:r w:rsidRPr="007E6C65">
              <w:rPr>
                <w:rFonts w:ascii="Times New Roman" w:hAnsi="Times New Roman" w:cs="Times New Roman"/>
                <w:sz w:val="24"/>
                <w:szCs w:val="24"/>
                <w:lang w:val="lt-LT"/>
              </w:rPr>
              <w:t>Pagal užsakovo nustatytą apipavidalinimo maketą.</w:t>
            </w:r>
          </w:p>
        </w:tc>
        <w:tc>
          <w:tcPr>
            <w:tcW w:w="2998" w:type="dxa"/>
            <w:tcBorders>
              <w:top w:val="single" w:sz="4" w:space="0" w:color="auto"/>
              <w:left w:val="single" w:sz="4" w:space="0" w:color="auto"/>
              <w:bottom w:val="single" w:sz="4" w:space="0" w:color="auto"/>
              <w:right w:val="single" w:sz="4" w:space="0" w:color="auto"/>
            </w:tcBorders>
          </w:tcPr>
          <w:p w14:paraId="7DA8A248" w14:textId="77777777" w:rsidR="006A18FE" w:rsidRPr="007E6C65" w:rsidRDefault="006A18FE" w:rsidP="007A4618">
            <w:pPr>
              <w:jc w:val="both"/>
              <w:rPr>
                <w:rFonts w:ascii="Times New Roman" w:hAnsi="Times New Roman" w:cs="Times New Roman"/>
                <w:sz w:val="24"/>
                <w:szCs w:val="24"/>
                <w:lang w:val="lt-LT"/>
              </w:rPr>
            </w:pPr>
          </w:p>
        </w:tc>
      </w:tr>
      <w:tr w:rsidR="006A18FE" w:rsidRPr="007E6C65" w14:paraId="76AAD3B1" w14:textId="49669A65" w:rsidTr="006A18FE">
        <w:tc>
          <w:tcPr>
            <w:tcW w:w="456" w:type="dxa"/>
          </w:tcPr>
          <w:p w14:paraId="17B97024" w14:textId="0FD60DF2"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8</w:t>
            </w:r>
          </w:p>
        </w:tc>
        <w:tc>
          <w:tcPr>
            <w:tcW w:w="2064" w:type="dxa"/>
          </w:tcPr>
          <w:p w14:paraId="2972F4FD" w14:textId="43AB250E"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Salonas</w:t>
            </w:r>
          </w:p>
        </w:tc>
        <w:tc>
          <w:tcPr>
            <w:tcW w:w="5012" w:type="dxa"/>
          </w:tcPr>
          <w:p w14:paraId="35E58A79" w14:textId="77777777" w:rsidR="0054366A" w:rsidRDefault="0054366A" w:rsidP="0054366A">
            <w:pPr>
              <w:rPr>
                <w:rFonts w:ascii="Times New Roman" w:hAnsi="Times New Roman" w:cs="Times New Roman"/>
                <w:sz w:val="24"/>
                <w:szCs w:val="24"/>
                <w:lang w:val="lt-LT"/>
              </w:rPr>
            </w:pPr>
            <w:r w:rsidRPr="00E66EFF">
              <w:rPr>
                <w:rFonts w:ascii="Times New Roman" w:hAnsi="Times New Roman" w:cs="Times New Roman"/>
                <w:sz w:val="24"/>
                <w:szCs w:val="24"/>
                <w:lang w:val="lt-LT"/>
              </w:rPr>
              <w:t>Keleivių laipinimo vieta be laiptelio (</w:t>
            </w:r>
            <w:proofErr w:type="spellStart"/>
            <w:r w:rsidRPr="00E66EFF">
              <w:rPr>
                <w:rFonts w:ascii="Times New Roman" w:hAnsi="Times New Roman" w:cs="Times New Roman"/>
                <w:sz w:val="24"/>
                <w:szCs w:val="24"/>
                <w:lang w:val="lt-LT"/>
              </w:rPr>
              <w:t>žemagrindė</w:t>
            </w:r>
            <w:proofErr w:type="spellEnd"/>
            <w:r w:rsidRPr="00E66EF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Žemagrindė</w:t>
            </w:r>
            <w:proofErr w:type="spellEnd"/>
            <w:r>
              <w:rPr>
                <w:rFonts w:ascii="Times New Roman" w:hAnsi="Times New Roman" w:cs="Times New Roman"/>
                <w:sz w:val="24"/>
                <w:szCs w:val="24"/>
                <w:lang w:val="lt-LT"/>
              </w:rPr>
              <w:t xml:space="preserve"> autobuso dalis laipinimui turi būti tarp ašių. </w:t>
            </w:r>
          </w:p>
          <w:p w14:paraId="41FE0E36" w14:textId="77777777" w:rsidR="0054366A" w:rsidRPr="00E66EFF" w:rsidRDefault="0054366A" w:rsidP="0054366A">
            <w:pPr>
              <w:jc w:val="both"/>
              <w:rPr>
                <w:rFonts w:ascii="Times New Roman" w:hAnsi="Times New Roman" w:cs="Times New Roman"/>
                <w:sz w:val="24"/>
                <w:szCs w:val="24"/>
                <w:lang w:val="lt-LT"/>
              </w:rPr>
            </w:pPr>
            <w:r w:rsidRPr="00E66EFF">
              <w:rPr>
                <w:rFonts w:ascii="Times New Roman" w:hAnsi="Times New Roman" w:cs="Times New Roman"/>
                <w:sz w:val="24"/>
                <w:szCs w:val="24"/>
                <w:lang w:val="lt-LT"/>
              </w:rPr>
              <w:t>Automatinės durys.</w:t>
            </w:r>
            <w:r>
              <w:rPr>
                <w:rFonts w:ascii="Times New Roman" w:hAnsi="Times New Roman" w:cs="Times New Roman"/>
                <w:sz w:val="24"/>
                <w:szCs w:val="24"/>
                <w:lang w:val="lt-LT"/>
              </w:rPr>
              <w:t xml:space="preserve"> D</w:t>
            </w:r>
            <w:r w:rsidRPr="00E66EFF">
              <w:rPr>
                <w:rFonts w:ascii="Times New Roman" w:hAnsi="Times New Roman" w:cs="Times New Roman"/>
                <w:sz w:val="24"/>
                <w:szCs w:val="24"/>
                <w:lang w:val="lt-LT"/>
              </w:rPr>
              <w:t>urys turi atitikti minimalius reikalavimus – turi būti ne siauresnės kaip 900 mm, ties rankenomis (jeigu jos įrengtos) turi būti ne siauresnės nei 800 mm.</w:t>
            </w:r>
          </w:p>
          <w:p w14:paraId="605784C9" w14:textId="77777777" w:rsidR="0054366A" w:rsidRDefault="0054366A" w:rsidP="007A4618">
            <w:pPr>
              <w:rPr>
                <w:rFonts w:ascii="Times New Roman" w:hAnsi="Times New Roman" w:cs="Times New Roman"/>
                <w:sz w:val="24"/>
                <w:szCs w:val="24"/>
                <w:lang w:val="lt-LT"/>
              </w:rPr>
            </w:pPr>
          </w:p>
          <w:p w14:paraId="762A1E73" w14:textId="4A7407AE" w:rsidR="006A18FE" w:rsidRPr="007E6C65" w:rsidRDefault="00EC04B9"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Transporto priemonėse turi būti n</w:t>
            </w:r>
            <w:r w:rsidR="006A18FE" w:rsidRPr="007E6C65">
              <w:rPr>
                <w:rFonts w:ascii="Times New Roman" w:hAnsi="Times New Roman" w:cs="Times New Roman"/>
                <w:sz w:val="24"/>
                <w:szCs w:val="24"/>
                <w:lang w:val="lt-LT"/>
              </w:rPr>
              <w:t xml:space="preserve">e mažiau </w:t>
            </w:r>
            <w:r w:rsidR="0054366A">
              <w:rPr>
                <w:rFonts w:ascii="Times New Roman" w:hAnsi="Times New Roman" w:cs="Times New Roman"/>
                <w:sz w:val="24"/>
                <w:szCs w:val="24"/>
                <w:lang w:val="lt-LT"/>
              </w:rPr>
              <w:t>6</w:t>
            </w:r>
            <w:r w:rsidR="006A18FE" w:rsidRPr="007E6C65">
              <w:rPr>
                <w:rFonts w:ascii="Times New Roman" w:hAnsi="Times New Roman" w:cs="Times New Roman"/>
                <w:sz w:val="24"/>
                <w:szCs w:val="24"/>
                <w:lang w:val="lt-LT"/>
              </w:rPr>
              <w:t xml:space="preserve"> veikiančių STOP mygtukų </w:t>
            </w:r>
            <w:r w:rsidR="00AC26C0" w:rsidRPr="007E6C65">
              <w:rPr>
                <w:rFonts w:ascii="Times New Roman" w:hAnsi="Times New Roman" w:cs="Times New Roman"/>
                <w:sz w:val="24"/>
                <w:szCs w:val="24"/>
                <w:lang w:val="lt-LT"/>
              </w:rPr>
              <w:t xml:space="preserve">bei </w:t>
            </w:r>
            <w:r w:rsidR="006A18FE" w:rsidRPr="007E6C65">
              <w:rPr>
                <w:rFonts w:ascii="Times New Roman" w:hAnsi="Times New Roman" w:cs="Times New Roman"/>
                <w:sz w:val="24"/>
                <w:szCs w:val="24"/>
                <w:lang w:val="lt-LT"/>
              </w:rPr>
              <w:t>indikacini</w:t>
            </w:r>
            <w:r w:rsidR="00AC26C0" w:rsidRPr="007E6C65">
              <w:rPr>
                <w:rFonts w:ascii="Times New Roman" w:hAnsi="Times New Roman" w:cs="Times New Roman"/>
                <w:sz w:val="24"/>
                <w:szCs w:val="24"/>
                <w:lang w:val="lt-LT"/>
              </w:rPr>
              <w:t>s</w:t>
            </w:r>
            <w:r w:rsidR="006A18FE" w:rsidRPr="007E6C65">
              <w:rPr>
                <w:rFonts w:ascii="Times New Roman" w:hAnsi="Times New Roman" w:cs="Times New Roman"/>
                <w:sz w:val="24"/>
                <w:szCs w:val="24"/>
                <w:lang w:val="lt-LT"/>
              </w:rPr>
              <w:t xml:space="preserve"> ekran</w:t>
            </w:r>
            <w:r w:rsidR="00AC26C0" w:rsidRPr="007E6C65">
              <w:rPr>
                <w:rFonts w:ascii="Times New Roman" w:hAnsi="Times New Roman" w:cs="Times New Roman"/>
                <w:sz w:val="24"/>
                <w:szCs w:val="24"/>
                <w:lang w:val="lt-LT"/>
              </w:rPr>
              <w:t>as</w:t>
            </w:r>
            <w:r w:rsidR="006A18FE" w:rsidRPr="007E6C65">
              <w:rPr>
                <w:rFonts w:ascii="Times New Roman" w:hAnsi="Times New Roman" w:cs="Times New Roman"/>
                <w:sz w:val="24"/>
                <w:szCs w:val="24"/>
                <w:lang w:val="lt-LT"/>
              </w:rPr>
              <w:t xml:space="preserve"> priekyje (po STOP mygtuko paspaudimo užsidega užrašas „STOP“) ir </w:t>
            </w:r>
            <w:r w:rsidR="00AC26C0" w:rsidRPr="007E6C65">
              <w:rPr>
                <w:rFonts w:ascii="Times New Roman" w:hAnsi="Times New Roman" w:cs="Times New Roman"/>
                <w:sz w:val="24"/>
                <w:szCs w:val="24"/>
                <w:lang w:val="lt-LT"/>
              </w:rPr>
              <w:t xml:space="preserve">girdimas </w:t>
            </w:r>
            <w:r w:rsidR="006A18FE" w:rsidRPr="007E6C65">
              <w:rPr>
                <w:rFonts w:ascii="Times New Roman" w:hAnsi="Times New Roman" w:cs="Times New Roman"/>
                <w:sz w:val="24"/>
                <w:szCs w:val="24"/>
                <w:lang w:val="lt-LT"/>
              </w:rPr>
              <w:t>garsini</w:t>
            </w:r>
            <w:r w:rsidR="00AC26C0" w:rsidRPr="007E6C65">
              <w:rPr>
                <w:rFonts w:ascii="Times New Roman" w:hAnsi="Times New Roman" w:cs="Times New Roman"/>
                <w:sz w:val="24"/>
                <w:szCs w:val="24"/>
                <w:lang w:val="lt-LT"/>
              </w:rPr>
              <w:t>s</w:t>
            </w:r>
            <w:r w:rsidR="006A18FE" w:rsidRPr="007E6C65">
              <w:rPr>
                <w:rFonts w:ascii="Times New Roman" w:hAnsi="Times New Roman" w:cs="Times New Roman"/>
                <w:sz w:val="24"/>
                <w:szCs w:val="24"/>
                <w:lang w:val="lt-LT"/>
              </w:rPr>
              <w:t xml:space="preserve"> signalu vairuotojui.</w:t>
            </w:r>
            <w:r w:rsidRPr="007E6C65">
              <w:rPr>
                <w:rFonts w:ascii="Times New Roman" w:hAnsi="Times New Roman" w:cs="Times New Roman"/>
                <w:sz w:val="24"/>
                <w:szCs w:val="24"/>
                <w:lang w:val="lt-LT"/>
              </w:rPr>
              <w:t xml:space="preserve"> </w:t>
            </w:r>
            <w:r w:rsidR="00AC26C0" w:rsidRPr="007E6C65">
              <w:rPr>
                <w:rFonts w:ascii="Times New Roman" w:hAnsi="Times New Roman" w:cs="Times New Roman"/>
                <w:sz w:val="24"/>
                <w:szCs w:val="24"/>
                <w:lang w:val="lt-LT"/>
              </w:rPr>
              <w:t>Prie specialių poreikių asmenims pritaikytų vietų, durų ir specialiųjų sėdynių stop m</w:t>
            </w:r>
            <w:r w:rsidRPr="007E6C65">
              <w:rPr>
                <w:rFonts w:ascii="Times New Roman" w:hAnsi="Times New Roman" w:cs="Times New Roman"/>
                <w:sz w:val="24"/>
                <w:szCs w:val="24"/>
                <w:lang w:val="lt-LT"/>
              </w:rPr>
              <w:t xml:space="preserve">ygtukai </w:t>
            </w:r>
            <w:r w:rsidR="00AC26C0" w:rsidRPr="007E6C65">
              <w:rPr>
                <w:rFonts w:ascii="Times New Roman" w:hAnsi="Times New Roman" w:cs="Times New Roman"/>
                <w:sz w:val="24"/>
                <w:szCs w:val="24"/>
                <w:lang w:val="lt-LT"/>
              </w:rPr>
              <w:t xml:space="preserve">privalo būti pasiekiami iš </w:t>
            </w:r>
            <w:r w:rsidR="00AC26C0" w:rsidRPr="007E6C65">
              <w:rPr>
                <w:rFonts w:ascii="Times New Roman" w:hAnsi="Times New Roman" w:cs="Times New Roman"/>
                <w:sz w:val="24"/>
                <w:szCs w:val="24"/>
                <w:lang w:val="lt-LT"/>
              </w:rPr>
              <w:lastRenderedPageBreak/>
              <w:t>arti</w:t>
            </w:r>
            <w:r w:rsidR="00760A76" w:rsidRPr="007E6C65">
              <w:rPr>
                <w:rFonts w:ascii="Times New Roman" w:hAnsi="Times New Roman" w:cs="Times New Roman"/>
                <w:sz w:val="24"/>
                <w:szCs w:val="24"/>
                <w:lang w:val="lt-LT"/>
              </w:rPr>
              <w:t>. Tokių mygtukų paspaudimas</w:t>
            </w:r>
            <w:r w:rsidR="00AC26C0" w:rsidRPr="007E6C65">
              <w:rPr>
                <w:rFonts w:ascii="Times New Roman" w:hAnsi="Times New Roman" w:cs="Times New Roman"/>
                <w:sz w:val="24"/>
                <w:szCs w:val="24"/>
                <w:lang w:val="lt-LT"/>
              </w:rPr>
              <w:t xml:space="preserve"> </w:t>
            </w:r>
            <w:r w:rsidRPr="007E6C65">
              <w:rPr>
                <w:rFonts w:ascii="Times New Roman" w:hAnsi="Times New Roman" w:cs="Times New Roman"/>
                <w:sz w:val="24"/>
                <w:szCs w:val="24"/>
                <w:lang w:val="lt-LT"/>
              </w:rPr>
              <w:t>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48DF29B2" w14:textId="77777777"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Tinkamai veikiantis salono apšvietimas. </w:t>
            </w:r>
          </w:p>
          <w:p w14:paraId="344F7EB0" w14:textId="77777777"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Autobuso šoniniai langai privalo būti tamsinti, šviesos pralaidumas nuo 20 iki 50%</w:t>
            </w:r>
          </w:p>
          <w:p w14:paraId="48BC2E8C" w14:textId="30F6221F" w:rsidR="006008CF" w:rsidRPr="007E6C65" w:rsidRDefault="006A18FE" w:rsidP="006008CF">
            <w:pP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Autobuso langai salone privalo turėti ne mažiau 4 atidaromas orlaides ir įrengtą oro kondicionavimo sistemą keleiviams salone. Sistemos šaldymo galingumas (angl. </w:t>
            </w:r>
            <w:proofErr w:type="spellStart"/>
            <w:r w:rsidRPr="007E6C65">
              <w:rPr>
                <w:rFonts w:ascii="Times New Roman" w:hAnsi="Times New Roman" w:cs="Times New Roman"/>
                <w:i/>
                <w:iCs/>
                <w:sz w:val="24"/>
                <w:szCs w:val="24"/>
                <w:lang w:val="lt-LT"/>
              </w:rPr>
              <w:t>cooling</w:t>
            </w:r>
            <w:proofErr w:type="spellEnd"/>
            <w:r w:rsidRPr="007E6C65">
              <w:rPr>
                <w:rFonts w:ascii="Times New Roman" w:hAnsi="Times New Roman" w:cs="Times New Roman"/>
                <w:i/>
                <w:iCs/>
                <w:sz w:val="24"/>
                <w:szCs w:val="24"/>
                <w:lang w:val="lt-LT"/>
              </w:rPr>
              <w:t xml:space="preserve"> </w:t>
            </w:r>
            <w:proofErr w:type="spellStart"/>
            <w:r w:rsidRPr="007E6C65">
              <w:rPr>
                <w:rFonts w:ascii="Times New Roman" w:hAnsi="Times New Roman" w:cs="Times New Roman"/>
                <w:i/>
                <w:iCs/>
                <w:sz w:val="24"/>
                <w:szCs w:val="24"/>
                <w:lang w:val="lt-LT"/>
              </w:rPr>
              <w:t>capacity</w:t>
            </w:r>
            <w:proofErr w:type="spellEnd"/>
            <w:r w:rsidRPr="007E6C65">
              <w:rPr>
                <w:rFonts w:ascii="Times New Roman" w:hAnsi="Times New Roman" w:cs="Times New Roman"/>
                <w:sz w:val="24"/>
                <w:szCs w:val="24"/>
                <w:lang w:val="lt-LT"/>
              </w:rPr>
              <w:t xml:space="preserve">): </w:t>
            </w:r>
            <w:r w:rsidRPr="00A777A7">
              <w:rPr>
                <w:rFonts w:ascii="Times New Roman" w:hAnsi="Times New Roman" w:cs="Times New Roman"/>
                <w:sz w:val="24"/>
                <w:szCs w:val="24"/>
                <w:lang w:val="lt-LT"/>
              </w:rPr>
              <w:t xml:space="preserve">ne mažiau </w:t>
            </w:r>
            <w:r w:rsidR="00F82CC6" w:rsidRPr="00A777A7">
              <w:rPr>
                <w:rFonts w:ascii="Times New Roman" w:hAnsi="Times New Roman" w:cs="Times New Roman"/>
                <w:sz w:val="24"/>
                <w:szCs w:val="24"/>
                <w:lang w:val="lt-LT"/>
              </w:rPr>
              <w:t>12</w:t>
            </w:r>
            <w:r w:rsidR="006008CF" w:rsidRPr="00A777A7">
              <w:rPr>
                <w:rFonts w:ascii="Times New Roman" w:hAnsi="Times New Roman" w:cs="Times New Roman"/>
                <w:sz w:val="24"/>
                <w:szCs w:val="24"/>
                <w:lang w:val="lt-LT"/>
              </w:rPr>
              <w:t xml:space="preserve"> kW</w:t>
            </w:r>
          </w:p>
          <w:p w14:paraId="3A2D4B34" w14:textId="76528719" w:rsidR="00F47CD2" w:rsidRPr="007E6C65" w:rsidRDefault="001442A4" w:rsidP="00E01676">
            <w:pPr>
              <w:rPr>
                <w:rFonts w:ascii="Times New Roman" w:hAnsi="Times New Roman" w:cs="Times New Roman"/>
                <w:sz w:val="24"/>
                <w:szCs w:val="24"/>
                <w:lang w:val="lt-LT"/>
              </w:rPr>
            </w:pPr>
            <w:r w:rsidRPr="007E6C65">
              <w:rPr>
                <w:rFonts w:ascii="Times New Roman" w:hAnsi="Times New Roman" w:cs="Times New Roman"/>
                <w:sz w:val="24"/>
                <w:szCs w:val="24"/>
                <w:lang w:val="lt-LT"/>
              </w:rPr>
              <w:t>Pirmą kartą Lietuvos Respublikoje registruojamos transporto priemonės turi atitikti 2022 m. rugsėjo 19 d. LR Susisiekimo ministro įsakymu Nr. 3-439 patvirtinto „Viešojo transporto priemonių pritaikymo neįgaliesiems ir riboto judumo asmenims reikalavimų apraše“ nustatytus reikalavimus.</w:t>
            </w:r>
          </w:p>
        </w:tc>
        <w:tc>
          <w:tcPr>
            <w:tcW w:w="2998" w:type="dxa"/>
          </w:tcPr>
          <w:p w14:paraId="003DE073" w14:textId="77777777" w:rsidR="006A18FE" w:rsidRPr="007E6C65" w:rsidRDefault="006A18FE" w:rsidP="007A4618">
            <w:pPr>
              <w:rPr>
                <w:rFonts w:ascii="Times New Roman" w:hAnsi="Times New Roman" w:cs="Times New Roman"/>
                <w:sz w:val="24"/>
                <w:szCs w:val="24"/>
                <w:lang w:val="lt-LT"/>
              </w:rPr>
            </w:pPr>
          </w:p>
        </w:tc>
      </w:tr>
      <w:tr w:rsidR="006A18FE" w:rsidRPr="007E6C65" w14:paraId="66D1C0C3" w14:textId="60D84164" w:rsidTr="006A18FE">
        <w:tc>
          <w:tcPr>
            <w:tcW w:w="456" w:type="dxa"/>
          </w:tcPr>
          <w:p w14:paraId="3AD26722" w14:textId="6DC7F500"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9</w:t>
            </w:r>
          </w:p>
        </w:tc>
        <w:tc>
          <w:tcPr>
            <w:tcW w:w="2064" w:type="dxa"/>
          </w:tcPr>
          <w:p w14:paraId="12882A49" w14:textId="400FD7B1"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Būtina įranga</w:t>
            </w:r>
          </w:p>
        </w:tc>
        <w:tc>
          <w:tcPr>
            <w:tcW w:w="5012" w:type="dxa"/>
          </w:tcPr>
          <w:p w14:paraId="2788E0C9" w14:textId="7641F1A4" w:rsidR="006A18FE" w:rsidRPr="007E6C65" w:rsidRDefault="006A18FE" w:rsidP="00E01676">
            <w:pPr>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1 ) Garsiakalbiai</w:t>
            </w:r>
            <w:r w:rsidR="00083AF2" w:rsidRPr="007E6C65">
              <w:rPr>
                <w:rFonts w:ascii="Times New Roman" w:hAnsi="Times New Roman" w:cs="Times New Roman"/>
                <w:b/>
                <w:sz w:val="24"/>
                <w:szCs w:val="24"/>
                <w:lang w:val="lt-LT"/>
              </w:rPr>
              <w:t xml:space="preserve"> ir garso stiprintuvas</w:t>
            </w:r>
            <w:r w:rsidRPr="007E6C65">
              <w:rPr>
                <w:rFonts w:ascii="Times New Roman" w:hAnsi="Times New Roman" w:cs="Times New Roman"/>
                <w:b/>
                <w:sz w:val="24"/>
                <w:szCs w:val="24"/>
                <w:lang w:val="lt-LT"/>
              </w:rPr>
              <w:t>:</w:t>
            </w:r>
          </w:p>
          <w:p w14:paraId="559423B3" w14:textId="77777777" w:rsidR="00083AF2" w:rsidRPr="007E6C65" w:rsidRDefault="00083AF2" w:rsidP="00083AF2">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3 vnt. garsiakalbių sumontuotų salone vidiniam garsui (stotelių ar kitiems garsiniams pranešimams. Garsiakalbių išdėstymas salone turi būti toks, kad garsas keleivių erdvėje būtų girdimas vienodai ir aiškiai sėdint bet kurioje salono vietoje.</w:t>
            </w:r>
          </w:p>
          <w:p w14:paraId="2F2A6092" w14:textId="77777777" w:rsidR="00083AF2" w:rsidRPr="007E6C65" w:rsidRDefault="00083AF2" w:rsidP="00083AF2">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 vnt. garsiakalbis sumontuotas išoriniam garsui (maršruto Nr. ar kitiems garsiniams pranešimams). Montuojama autobuso dešinėje pusėje, kad garsas būtų girdimas zonoje ties autobuso durimis.</w:t>
            </w:r>
            <w:r w:rsidRPr="007E6C65">
              <w:rPr>
                <w:rFonts w:ascii="Times New Roman" w:hAnsi="Times New Roman" w:cs="Times New Roman"/>
                <w:sz w:val="24"/>
                <w:szCs w:val="24"/>
                <w:lang w:val="lt-LT"/>
              </w:rPr>
              <w:br/>
              <w:t xml:space="preserve">Ne mažiau 1 vnt. garso stiprintuvo, prie kurio jungiami garsiakalbiai. Stiprintuvas turi turėti žemo lygio (angl. </w:t>
            </w:r>
            <w:proofErr w:type="spellStart"/>
            <w:r w:rsidRPr="007E6C65">
              <w:rPr>
                <w:rFonts w:ascii="Times New Roman" w:hAnsi="Times New Roman" w:cs="Times New Roman"/>
                <w:i/>
                <w:iCs/>
                <w:sz w:val="24"/>
                <w:szCs w:val="24"/>
                <w:lang w:val="lt-LT"/>
              </w:rPr>
              <w:t>low-level</w:t>
            </w:r>
            <w:proofErr w:type="spellEnd"/>
            <w:r w:rsidRPr="007E6C65">
              <w:rPr>
                <w:rFonts w:ascii="Times New Roman" w:hAnsi="Times New Roman" w:cs="Times New Roman"/>
                <w:sz w:val="24"/>
                <w:szCs w:val="24"/>
                <w:lang w:val="lt-LT"/>
              </w:rPr>
              <w:t xml:space="preserve">) garso įvestį atskirais kanalais vidiniams ir išoriniams garsams. </w:t>
            </w:r>
          </w:p>
          <w:p w14:paraId="74489AE9" w14:textId="77777777" w:rsidR="006A18FE" w:rsidRPr="007E6C65" w:rsidRDefault="006A18FE" w:rsidP="00F85C36">
            <w:pPr>
              <w:jc w:val="both"/>
              <w:rPr>
                <w:rFonts w:ascii="Times New Roman" w:hAnsi="Times New Roman" w:cs="Times New Roman"/>
                <w:sz w:val="24"/>
                <w:szCs w:val="24"/>
                <w:lang w:val="lt-LT"/>
              </w:rPr>
            </w:pPr>
          </w:p>
          <w:p w14:paraId="206BDBE0" w14:textId="635DA354" w:rsidR="006A18FE" w:rsidRPr="007E6C65" w:rsidRDefault="006A18FE" w:rsidP="00500C42">
            <w:pPr>
              <w:pStyle w:val="Sraopastraipa"/>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El. bilieto sistema:</w:t>
            </w:r>
          </w:p>
          <w:p w14:paraId="64DEE455" w14:textId="6D09B934" w:rsidR="006A18FE" w:rsidRPr="007E6C65" w:rsidRDefault="006A18FE" w:rsidP="00F85C36">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Transporto priemonės privalo būti paruoštos el. bilieto veikimui, konkurso dalyvis savo sąskaita paruošia laidų instaliaciją, </w:t>
            </w:r>
            <w:r w:rsidRPr="007E6C65">
              <w:rPr>
                <w:rFonts w:ascii="Times New Roman" w:hAnsi="Times New Roman" w:cs="Times New Roman"/>
                <w:sz w:val="24"/>
                <w:szCs w:val="24"/>
                <w:u w:val="single"/>
                <w:lang w:val="lt-LT"/>
              </w:rPr>
              <w:t>pagal pridedamą schemą (žr. žemiau 2 pav.)</w:t>
            </w:r>
            <w:r w:rsidRPr="007E6C65">
              <w:rPr>
                <w:rFonts w:ascii="Times New Roman" w:hAnsi="Times New Roman" w:cs="Times New Roman"/>
                <w:sz w:val="24"/>
                <w:szCs w:val="24"/>
                <w:lang w:val="lt-LT"/>
              </w:rPr>
              <w:t xml:space="preserve">, el. skaitytuvams, borto </w:t>
            </w:r>
            <w:r w:rsidRPr="007E6C65">
              <w:rPr>
                <w:rFonts w:ascii="Times New Roman" w:hAnsi="Times New Roman" w:cs="Times New Roman"/>
                <w:sz w:val="24"/>
                <w:szCs w:val="24"/>
                <w:lang w:val="lt-LT"/>
              </w:rPr>
              <w:lastRenderedPageBreak/>
              <w:t>kompiuteriui, el. bilieto įrangos valdikliui, garsiakalbiams, kasos aparatui (rūpinasi rangovas) Instaliavimo darbai turi būti baigti ne vėliau nei likus 2 savaitėms iki sutarties galiojimo pradžios. Užsakovas savo sąskaita sumontuoja galinę įrangą (skaitytuvai, borto kompiuteris – valdiklis, planšetė – vairuotojo ekranas). Dėl instaliacijos darbų privaloma konsultuotis su užsakovu.</w:t>
            </w:r>
          </w:p>
          <w:p w14:paraId="55EA876A" w14:textId="77777777" w:rsidR="006A18FE" w:rsidRPr="007E6C65" w:rsidRDefault="006A18FE" w:rsidP="00F85C36">
            <w:pPr>
              <w:jc w:val="both"/>
              <w:rPr>
                <w:rFonts w:ascii="Times New Roman" w:hAnsi="Times New Roman" w:cs="Times New Roman"/>
                <w:sz w:val="24"/>
                <w:szCs w:val="24"/>
                <w:lang w:val="lt-LT"/>
              </w:rPr>
            </w:pPr>
          </w:p>
          <w:p w14:paraId="2159D4FC" w14:textId="77777777" w:rsidR="006A18FE" w:rsidRPr="007E6C65" w:rsidRDefault="006A18FE" w:rsidP="00F85C36">
            <w:pPr>
              <w:jc w:val="both"/>
              <w:rPr>
                <w:rFonts w:ascii="Times New Roman" w:hAnsi="Times New Roman" w:cs="Times New Roman"/>
                <w:sz w:val="24"/>
                <w:szCs w:val="24"/>
                <w:lang w:val="lt-LT"/>
              </w:rPr>
            </w:pPr>
          </w:p>
          <w:p w14:paraId="0E4C9B78" w14:textId="31FA0D9C" w:rsidR="006A18FE" w:rsidRPr="007E6C65" w:rsidRDefault="006A18FE" w:rsidP="00500C42">
            <w:pPr>
              <w:pStyle w:val="Sraopastraipa"/>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Informacinės švieslentės:</w:t>
            </w:r>
          </w:p>
          <w:p w14:paraId="545C0053" w14:textId="3D3A94C9" w:rsidR="006A18FE" w:rsidRPr="007E6C65" w:rsidRDefault="006A18FE" w:rsidP="00E01676">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Transporto priemonėje privalo būti sumontuotos LED elektroninės</w:t>
            </w:r>
            <w:r w:rsidR="00760A76" w:rsidRPr="007E6C65">
              <w:rPr>
                <w:rFonts w:ascii="Times New Roman" w:hAnsi="Times New Roman" w:cs="Times New Roman"/>
                <w:sz w:val="24"/>
                <w:szCs w:val="24"/>
                <w:lang w:val="lt-LT"/>
              </w:rPr>
              <w:t xml:space="preserve"> oranžinės spalvos</w:t>
            </w:r>
            <w:r w:rsidRPr="007E6C65">
              <w:rPr>
                <w:rFonts w:ascii="Times New Roman" w:hAnsi="Times New Roman" w:cs="Times New Roman"/>
                <w:sz w:val="24"/>
                <w:szCs w:val="24"/>
                <w:lang w:val="lt-LT"/>
              </w:rPr>
              <w:t xml:space="preserve"> švieslentės</w:t>
            </w:r>
            <w:r w:rsidR="00760A76" w:rsidRPr="007E6C65">
              <w:rPr>
                <w:rFonts w:ascii="Times New Roman" w:hAnsi="Times New Roman" w:cs="Times New Roman"/>
                <w:sz w:val="24"/>
                <w:szCs w:val="24"/>
                <w:lang w:val="lt-LT"/>
              </w:rPr>
              <w:t xml:space="preserve"> ir LED TFT multimedijos ekranas. Juose bus pateikiama informacija keleiviams apie maršrutą, </w:t>
            </w:r>
            <w:r w:rsidR="00935900" w:rsidRPr="007E6C65">
              <w:rPr>
                <w:rFonts w:ascii="Times New Roman" w:hAnsi="Times New Roman" w:cs="Times New Roman"/>
                <w:sz w:val="24"/>
                <w:szCs w:val="24"/>
                <w:lang w:val="lt-LT"/>
              </w:rPr>
              <w:t xml:space="preserve">esamą, ar būsimą </w:t>
            </w:r>
            <w:r w:rsidR="00760A76" w:rsidRPr="007E6C65">
              <w:rPr>
                <w:rFonts w:ascii="Times New Roman" w:hAnsi="Times New Roman" w:cs="Times New Roman"/>
                <w:sz w:val="24"/>
                <w:szCs w:val="24"/>
                <w:lang w:val="lt-LT"/>
              </w:rPr>
              <w:t>stotelę ir pan.:</w:t>
            </w:r>
          </w:p>
          <w:tbl>
            <w:tblPr>
              <w:tblStyle w:val="Lentelstinklelis"/>
              <w:tblW w:w="0" w:type="auto"/>
              <w:jc w:val="center"/>
              <w:tblLook w:val="04A0" w:firstRow="1" w:lastRow="0" w:firstColumn="1" w:lastColumn="0" w:noHBand="0" w:noVBand="1"/>
            </w:tblPr>
            <w:tblGrid>
              <w:gridCol w:w="1536"/>
              <w:gridCol w:w="1043"/>
              <w:gridCol w:w="1017"/>
              <w:gridCol w:w="1190"/>
            </w:tblGrid>
            <w:tr w:rsidR="00760A76" w:rsidRPr="007E6C65" w14:paraId="7D0F2737" w14:textId="77777777" w:rsidTr="008A4317">
              <w:trPr>
                <w:jc w:val="center"/>
              </w:trPr>
              <w:tc>
                <w:tcPr>
                  <w:tcW w:w="4786" w:type="dxa"/>
                  <w:gridSpan w:val="4"/>
                </w:tcPr>
                <w:p w14:paraId="2BB94169" w14:textId="3401306B" w:rsidR="00760A76" w:rsidRPr="007E6C65" w:rsidRDefault="00760A76"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LED švieslentės</w:t>
                  </w:r>
                </w:p>
              </w:tc>
            </w:tr>
            <w:tr w:rsidR="006A18FE" w:rsidRPr="007E6C65" w14:paraId="4E042530" w14:textId="77777777" w:rsidTr="00C97B2A">
              <w:trPr>
                <w:jc w:val="center"/>
              </w:trPr>
              <w:tc>
                <w:tcPr>
                  <w:tcW w:w="1536" w:type="dxa"/>
                </w:tcPr>
                <w:p w14:paraId="5F0EFA41"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Montavimo vieta (kiekis)</w:t>
                  </w:r>
                </w:p>
              </w:tc>
              <w:tc>
                <w:tcPr>
                  <w:tcW w:w="1043" w:type="dxa"/>
                </w:tcPr>
                <w:p w14:paraId="5CA3675A"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Aukščio pikselių kiekis</w:t>
                  </w:r>
                </w:p>
              </w:tc>
              <w:tc>
                <w:tcPr>
                  <w:tcW w:w="1017" w:type="dxa"/>
                </w:tcPr>
                <w:p w14:paraId="03C0DC70"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Pločio pikselių kiekis</w:t>
                  </w:r>
                </w:p>
              </w:tc>
              <w:tc>
                <w:tcPr>
                  <w:tcW w:w="1190" w:type="dxa"/>
                </w:tcPr>
                <w:p w14:paraId="18D56804"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Atstumas tarp pikselių</w:t>
                  </w:r>
                </w:p>
              </w:tc>
            </w:tr>
            <w:tr w:rsidR="006A18FE" w:rsidRPr="007E6C65" w14:paraId="1CF4D40A" w14:textId="77777777" w:rsidTr="00C97B2A">
              <w:trPr>
                <w:jc w:val="center"/>
              </w:trPr>
              <w:tc>
                <w:tcPr>
                  <w:tcW w:w="1536" w:type="dxa"/>
                </w:tcPr>
                <w:p w14:paraId="10138413" w14:textId="5909ED70"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Priekyje (1 vnt.)</w:t>
                  </w:r>
                </w:p>
              </w:tc>
              <w:tc>
                <w:tcPr>
                  <w:tcW w:w="1043" w:type="dxa"/>
                </w:tcPr>
                <w:p w14:paraId="57BE7404"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17</w:t>
                  </w:r>
                </w:p>
              </w:tc>
              <w:tc>
                <w:tcPr>
                  <w:tcW w:w="1017" w:type="dxa"/>
                </w:tcPr>
                <w:p w14:paraId="40759040"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140</w:t>
                  </w:r>
                </w:p>
              </w:tc>
              <w:tc>
                <w:tcPr>
                  <w:tcW w:w="1190" w:type="dxa"/>
                </w:tcPr>
                <w:p w14:paraId="792BB612" w14:textId="6DEA68B5"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6931E7EF" w14:textId="77777777" w:rsidTr="00C97B2A">
              <w:trPr>
                <w:jc w:val="center"/>
              </w:trPr>
              <w:tc>
                <w:tcPr>
                  <w:tcW w:w="1536" w:type="dxa"/>
                </w:tcPr>
                <w:p w14:paraId="77775514" w14:textId="1548A6EC"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Šone (1 vnt.)</w:t>
                  </w:r>
                </w:p>
              </w:tc>
              <w:tc>
                <w:tcPr>
                  <w:tcW w:w="1043" w:type="dxa"/>
                </w:tcPr>
                <w:p w14:paraId="3807CB1D"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1017" w:type="dxa"/>
                </w:tcPr>
                <w:p w14:paraId="1E07F247" w14:textId="25E3CF52" w:rsidR="006A18FE" w:rsidRPr="007E6C65" w:rsidRDefault="006A18FE" w:rsidP="007E6C65">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Ne mažiau </w:t>
                  </w:r>
                  <w:r w:rsidR="007E6C65">
                    <w:rPr>
                      <w:rFonts w:ascii="Times New Roman" w:hAnsi="Times New Roman" w:cs="Times New Roman"/>
                      <w:sz w:val="24"/>
                      <w:szCs w:val="24"/>
                      <w:lang w:val="lt-LT"/>
                    </w:rPr>
                    <w:t>90</w:t>
                  </w:r>
                </w:p>
              </w:tc>
              <w:tc>
                <w:tcPr>
                  <w:tcW w:w="1190" w:type="dxa"/>
                </w:tcPr>
                <w:p w14:paraId="31E63FFF" w14:textId="54BFE8EE"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58CFCC5C" w14:textId="77777777" w:rsidTr="00C97B2A">
              <w:trPr>
                <w:jc w:val="center"/>
              </w:trPr>
              <w:tc>
                <w:tcPr>
                  <w:tcW w:w="1536" w:type="dxa"/>
                </w:tcPr>
                <w:p w14:paraId="3A9BB4E9" w14:textId="2665B6C0"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Gale (1 vnt.)</w:t>
                  </w:r>
                </w:p>
              </w:tc>
              <w:tc>
                <w:tcPr>
                  <w:tcW w:w="1043" w:type="dxa"/>
                </w:tcPr>
                <w:p w14:paraId="02781681"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1017" w:type="dxa"/>
                </w:tcPr>
                <w:p w14:paraId="54040DC2"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32</w:t>
                  </w:r>
                </w:p>
              </w:tc>
              <w:tc>
                <w:tcPr>
                  <w:tcW w:w="1190" w:type="dxa"/>
                </w:tcPr>
                <w:p w14:paraId="3A909C7A" w14:textId="6157D1FE"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706BA748" w14:textId="77777777" w:rsidTr="00C97B2A">
              <w:trPr>
                <w:jc w:val="center"/>
              </w:trPr>
              <w:tc>
                <w:tcPr>
                  <w:tcW w:w="1536" w:type="dxa"/>
                </w:tcPr>
                <w:p w14:paraId="36DFCFAC" w14:textId="646103AC"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Viduje (</w:t>
                  </w:r>
                  <w:r w:rsidR="00AC26C0" w:rsidRPr="007E6C65">
                    <w:rPr>
                      <w:rFonts w:ascii="Times New Roman" w:hAnsi="Times New Roman" w:cs="Times New Roman"/>
                      <w:sz w:val="24"/>
                      <w:szCs w:val="24"/>
                      <w:lang w:val="lt-LT"/>
                    </w:rPr>
                    <w:t>1</w:t>
                  </w:r>
                  <w:r w:rsidRPr="007E6C65">
                    <w:rPr>
                      <w:rFonts w:ascii="Times New Roman" w:hAnsi="Times New Roman" w:cs="Times New Roman"/>
                      <w:sz w:val="24"/>
                      <w:szCs w:val="24"/>
                      <w:lang w:val="lt-LT"/>
                    </w:rPr>
                    <w:t xml:space="preserve"> vnt.)</w:t>
                  </w:r>
                </w:p>
              </w:tc>
              <w:tc>
                <w:tcPr>
                  <w:tcW w:w="1043" w:type="dxa"/>
                </w:tcPr>
                <w:p w14:paraId="432EC2B0"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1017" w:type="dxa"/>
                </w:tcPr>
                <w:p w14:paraId="73EFC588"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120</w:t>
                  </w:r>
                </w:p>
              </w:tc>
              <w:tc>
                <w:tcPr>
                  <w:tcW w:w="1190" w:type="dxa"/>
                </w:tcPr>
                <w:p w14:paraId="5079EC50" w14:textId="4C9DE4CF"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0,35-0,7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935900" w:rsidRPr="007E6C65" w14:paraId="50AF68AE" w14:textId="77777777" w:rsidTr="008D5C02">
              <w:trPr>
                <w:jc w:val="center"/>
              </w:trPr>
              <w:tc>
                <w:tcPr>
                  <w:tcW w:w="4786" w:type="dxa"/>
                  <w:gridSpan w:val="4"/>
                </w:tcPr>
                <w:p w14:paraId="4240F2CD" w14:textId="77777777" w:rsidR="00935900" w:rsidRPr="007E6C65" w:rsidRDefault="00935900" w:rsidP="009709A3">
                  <w:pPr>
                    <w:jc w:val="center"/>
                    <w:rPr>
                      <w:rFonts w:ascii="Times New Roman" w:hAnsi="Times New Roman" w:cs="Times New Roman"/>
                      <w:sz w:val="24"/>
                      <w:szCs w:val="24"/>
                      <w:lang w:val="lt-LT"/>
                    </w:rPr>
                  </w:pPr>
                </w:p>
              </w:tc>
            </w:tr>
          </w:tbl>
          <w:p w14:paraId="6D235EB8" w14:textId="77777777" w:rsidR="006A18FE" w:rsidRPr="007E6C65" w:rsidRDefault="006A18FE" w:rsidP="00E01676">
            <w:pPr>
              <w:pStyle w:val="Sraopastraipa"/>
              <w:jc w:val="both"/>
              <w:rPr>
                <w:rFonts w:ascii="Times New Roman" w:hAnsi="Times New Roman" w:cs="Times New Roman"/>
                <w:sz w:val="24"/>
                <w:szCs w:val="24"/>
                <w:lang w:val="lt-LT"/>
              </w:rPr>
            </w:pPr>
          </w:p>
          <w:p w14:paraId="1A77EF56" w14:textId="1BA763BD" w:rsidR="006A18FE" w:rsidRPr="007E6C65" w:rsidRDefault="006A18FE" w:rsidP="00D06DA4">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Elektroninės švieslentės visą Sutarties galiojimo laikotarpį turi veikti tinkamai, </w:t>
            </w:r>
            <w:r w:rsidR="00935900" w:rsidRPr="007E6C65">
              <w:rPr>
                <w:rFonts w:ascii="Times New Roman" w:hAnsi="Times New Roman" w:cs="Times New Roman"/>
                <w:sz w:val="24"/>
                <w:szCs w:val="24"/>
                <w:lang w:val="lt-LT"/>
              </w:rPr>
              <w:t>įrenginiuose</w:t>
            </w:r>
            <w:r w:rsidRPr="007E6C65">
              <w:rPr>
                <w:rFonts w:ascii="Times New Roman" w:hAnsi="Times New Roman" w:cs="Times New Roman"/>
                <w:sz w:val="24"/>
                <w:szCs w:val="24"/>
                <w:lang w:val="lt-LT"/>
              </w:rPr>
              <w:t xml:space="preserve"> pateikiama informacija turi būti ryški ir pilnai apšviesta, kad būtų matoma tiek tamsiu paros metu, tiek ir saulėtomis dienomis. </w:t>
            </w:r>
          </w:p>
          <w:p w14:paraId="06257C01" w14:textId="6B16C009" w:rsidR="006A18FE" w:rsidRPr="007E6C65" w:rsidRDefault="006A18FE" w:rsidP="00D06DA4">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Švieslentėse turi būti automatinis informacijos pasikeitimas keičiantis signalui iš autobuse sumontuotos tvarkaraščių vykdymo (el. bilieto) įrangos, t. y. švieslentės turi būti integruotos su naudojama elektroninio bilieto sistema.</w:t>
            </w:r>
          </w:p>
          <w:p w14:paraId="62D2169F" w14:textId="30BACD9F" w:rsidR="00671FD7" w:rsidRPr="007E6C65" w:rsidRDefault="00671FD7" w:rsidP="00D06DA4">
            <w:pPr>
              <w:jc w:val="both"/>
              <w:rPr>
                <w:rFonts w:ascii="Times New Roman" w:hAnsi="Times New Roman" w:cs="Times New Roman"/>
                <w:sz w:val="24"/>
                <w:szCs w:val="24"/>
                <w:lang w:val="lt-LT"/>
              </w:rPr>
            </w:pPr>
          </w:p>
          <w:p w14:paraId="562809B7" w14:textId="5B147703" w:rsidR="006A18FE" w:rsidRPr="007E6C65" w:rsidRDefault="006A18FE" w:rsidP="00F85C36">
            <w:pPr>
              <w:jc w:val="both"/>
              <w:rPr>
                <w:rFonts w:ascii="Times New Roman" w:hAnsi="Times New Roman" w:cs="Times New Roman"/>
                <w:sz w:val="24"/>
                <w:szCs w:val="24"/>
                <w:lang w:val="lt-LT"/>
              </w:rPr>
            </w:pPr>
            <w:r w:rsidRPr="007E6C65">
              <w:rPr>
                <w:rFonts w:ascii="Times New Roman" w:hAnsi="Times New Roman" w:cs="Times New Roman"/>
                <w:b/>
                <w:bCs/>
                <w:sz w:val="24"/>
                <w:szCs w:val="24"/>
                <w:lang w:val="lt-LT"/>
              </w:rPr>
              <w:lastRenderedPageBreak/>
              <w:t>Automatinis švieslenčių informacijos rodymas</w:t>
            </w:r>
            <w:r w:rsidRPr="007E6C65">
              <w:rPr>
                <w:rFonts w:ascii="Times New Roman" w:hAnsi="Times New Roman" w:cs="Times New Roman"/>
                <w:sz w:val="24"/>
                <w:szCs w:val="24"/>
                <w:lang w:val="lt-LT"/>
              </w:rPr>
              <w:t xml:space="preserve"> įmanomas tik su tam tikrais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modeliais, todėl tiekėjas pasirinkdamas modelius turi įsivertinti galimybes </w:t>
            </w:r>
            <w:r w:rsidR="00935900" w:rsidRPr="007E6C65">
              <w:rPr>
                <w:rFonts w:ascii="Times New Roman" w:hAnsi="Times New Roman" w:cs="Times New Roman"/>
                <w:sz w:val="24"/>
                <w:szCs w:val="24"/>
                <w:lang w:val="lt-LT"/>
              </w:rPr>
              <w:t>dėl jų</w:t>
            </w:r>
            <w:r w:rsidRPr="007E6C65">
              <w:rPr>
                <w:rFonts w:ascii="Times New Roman" w:hAnsi="Times New Roman" w:cs="Times New Roman"/>
                <w:sz w:val="24"/>
                <w:szCs w:val="24"/>
                <w:lang w:val="lt-LT"/>
              </w:rPr>
              <w:t xml:space="preserve"> integr</w:t>
            </w:r>
            <w:r w:rsidR="00935900" w:rsidRPr="007E6C65">
              <w:rPr>
                <w:rFonts w:ascii="Times New Roman" w:hAnsi="Times New Roman" w:cs="Times New Roman"/>
                <w:sz w:val="24"/>
                <w:szCs w:val="24"/>
                <w:lang w:val="lt-LT"/>
              </w:rPr>
              <w:t>avimo</w:t>
            </w:r>
            <w:r w:rsidRPr="007E6C65">
              <w:rPr>
                <w:rFonts w:ascii="Times New Roman" w:hAnsi="Times New Roman" w:cs="Times New Roman"/>
                <w:sz w:val="24"/>
                <w:szCs w:val="24"/>
                <w:lang w:val="lt-LT"/>
              </w:rPr>
              <w:t xml:space="preserve"> su naudojama el. bilieto sistema. Dėl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modelių tinkamumo automatiniam veikimui būtina konsultuotis su užsakovu. Jeigu tiekėjas pasirenka iki šiol neintegruotą, tačiau pagal parametrus tinkantį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modelį/-</w:t>
            </w:r>
            <w:proofErr w:type="spellStart"/>
            <w:r w:rsidRPr="007E6C65">
              <w:rPr>
                <w:rFonts w:ascii="Times New Roman" w:hAnsi="Times New Roman" w:cs="Times New Roman"/>
                <w:sz w:val="24"/>
                <w:szCs w:val="24"/>
                <w:lang w:val="lt-LT"/>
              </w:rPr>
              <w:t>ius</w:t>
            </w:r>
            <w:proofErr w:type="spellEnd"/>
            <w:r w:rsidRPr="007E6C65">
              <w:rPr>
                <w:rFonts w:ascii="Times New Roman" w:hAnsi="Times New Roman" w:cs="Times New Roman"/>
                <w:sz w:val="24"/>
                <w:szCs w:val="24"/>
                <w:lang w:val="lt-LT"/>
              </w:rPr>
              <w:t xml:space="preserve"> -reikalingus integravimo kaštus prisiima tiekėjas.</w:t>
            </w:r>
          </w:p>
          <w:p w14:paraId="787216D9" w14:textId="77777777" w:rsidR="00671FD7" w:rsidRPr="007E6C65" w:rsidRDefault="00671FD7" w:rsidP="00671FD7">
            <w:pPr>
              <w:pStyle w:val="Sraopastraipa"/>
              <w:spacing w:after="160" w:line="259" w:lineRule="auto"/>
              <w:rPr>
                <w:rFonts w:ascii="Times New Roman" w:hAnsi="Times New Roman" w:cs="Times New Roman"/>
                <w:sz w:val="24"/>
                <w:szCs w:val="24"/>
                <w:lang w:val="lt-LT"/>
              </w:rPr>
            </w:pPr>
          </w:p>
          <w:p w14:paraId="7347AD3D" w14:textId="194D900A" w:rsidR="006A18FE" w:rsidRPr="007E6C65" w:rsidRDefault="006A18FE" w:rsidP="00500C42">
            <w:pPr>
              <w:pStyle w:val="Sraopastraipa"/>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Privaloma vaizdo ir garso įrašymo įranga:</w:t>
            </w:r>
          </w:p>
          <w:p w14:paraId="762159D2" w14:textId="782F7F3E"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4 kameros – filmuoja kelią ir transporto priemonės vidų (turi matytis visas transporto priemonės salonas ir bilietų pardavimo vieta be aklųjų zonų (keleivių sėdynių ir turėklų užstojimas nėra laikomas akla zona));</w:t>
            </w:r>
          </w:p>
          <w:p w14:paraId="1012DB5D" w14:textId="77777777" w:rsidR="00EB5168" w:rsidRPr="007E6C65" w:rsidRDefault="00EB5168" w:rsidP="00214E6B">
            <w:pPr>
              <w:jc w:val="both"/>
              <w:rPr>
                <w:rFonts w:ascii="Times New Roman" w:hAnsi="Times New Roman" w:cs="Times New Roman"/>
                <w:sz w:val="24"/>
                <w:szCs w:val="24"/>
                <w:lang w:val="lt-LT"/>
              </w:rPr>
            </w:pPr>
          </w:p>
          <w:p w14:paraId="5865DED4" w14:textId="432225D9"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w:t>
            </w:r>
          </w:p>
          <w:p w14:paraId="57225809"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Ne mažiau nei 2 </w:t>
            </w:r>
            <w:proofErr w:type="spellStart"/>
            <w:r w:rsidRPr="007E6C65">
              <w:rPr>
                <w:rFonts w:ascii="Times New Roman" w:hAnsi="Times New Roman" w:cs="Times New Roman"/>
                <w:sz w:val="24"/>
                <w:szCs w:val="24"/>
                <w:lang w:val="lt-LT"/>
              </w:rPr>
              <w:t>megapikselių</w:t>
            </w:r>
            <w:proofErr w:type="spellEnd"/>
            <w:r w:rsidRPr="007E6C65">
              <w:rPr>
                <w:rFonts w:ascii="Times New Roman" w:hAnsi="Times New Roman" w:cs="Times New Roman"/>
                <w:sz w:val="24"/>
                <w:szCs w:val="24"/>
                <w:lang w:val="lt-LT"/>
              </w:rPr>
              <w:t xml:space="preserve"> matrica;</w:t>
            </w:r>
          </w:p>
          <w:p w14:paraId="5B98361F"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blogiau nei H.265 kodavimas;</w:t>
            </w:r>
          </w:p>
          <w:p w14:paraId="79612FD4"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Signalas perduodamas iš kamerų į NVR (įrašymo įrenginį) per CAT5/6 UTP kabelius (negali būtų naudojamas analoginis signalo perdavimas);</w:t>
            </w:r>
          </w:p>
          <w:p w14:paraId="2074DFCA" w14:textId="08D8FF1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Bent viena priekyje montuojama kamera turi mikrofoną, Turi būti galimybė sukonfig</w:t>
            </w:r>
            <w:r w:rsidR="00A81C37">
              <w:rPr>
                <w:rFonts w:ascii="Times New Roman" w:hAnsi="Times New Roman" w:cs="Times New Roman"/>
                <w:sz w:val="24"/>
                <w:szCs w:val="24"/>
                <w:lang w:val="lt-LT"/>
              </w:rPr>
              <w:t>ū</w:t>
            </w:r>
            <w:r w:rsidRPr="007E6C65">
              <w:rPr>
                <w:rFonts w:ascii="Times New Roman" w:hAnsi="Times New Roman" w:cs="Times New Roman"/>
                <w:sz w:val="24"/>
                <w:szCs w:val="24"/>
                <w:lang w:val="lt-LT"/>
              </w:rPr>
              <w:t>ruoti, garso įrašymą tik suveikus pavojaus signalui;</w:t>
            </w:r>
          </w:p>
          <w:p w14:paraId="3EBA00F4"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 filmuojančios ne blogesne nei 1080p raiška, 24 kadrai per sekundę;</w:t>
            </w:r>
          </w:p>
          <w:p w14:paraId="6CECF11D" w14:textId="77777777" w:rsidR="00214E6B" w:rsidRPr="007E6C65" w:rsidRDefault="00214E6B" w:rsidP="00214E6B">
            <w:pPr>
              <w:pStyle w:val="Sraopastraipa"/>
              <w:ind w:left="0"/>
              <w:jc w:val="both"/>
              <w:rPr>
                <w:rFonts w:ascii="Times New Roman" w:hAnsi="Times New Roman" w:cs="Times New Roman"/>
                <w:sz w:val="24"/>
                <w:szCs w:val="24"/>
                <w:lang w:val="lt-LT"/>
              </w:rPr>
            </w:pPr>
          </w:p>
          <w:p w14:paraId="00C36FCE" w14:textId="5131573F" w:rsidR="00214E6B" w:rsidRPr="007E6C65" w:rsidRDefault="00214E6B" w:rsidP="00214E6B">
            <w:pPr>
              <w:pStyle w:val="Sraopastraipa"/>
              <w:ind w:left="0"/>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NVR (įrašymo įrenginys):</w:t>
            </w:r>
          </w:p>
          <w:p w14:paraId="64A4D92C"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 jungiamos per RJ45 jungtį;</w:t>
            </w:r>
          </w:p>
          <w:p w14:paraId="232C54B0"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Turi galimybę prie NVR jungtis nuotoliniu būdu, naudojant 4G modemą;</w:t>
            </w:r>
          </w:p>
          <w:p w14:paraId="76B9B1DC"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NVR visą vaizdo medžiagą koduoja H.265;</w:t>
            </w:r>
          </w:p>
          <w:p w14:paraId="4CE94187"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Įrašoma ne blogiau nei 1080p raiška, 24 kadrai per sekundę;</w:t>
            </w:r>
          </w:p>
          <w:p w14:paraId="2B83B495"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Vidinė atmintis be judančių dalių. Talpos turi pakakti 200 valandų įrašams iš visų autobuse esančių kamerų įrašant ne mažiau 4096 </w:t>
            </w:r>
            <w:proofErr w:type="spellStart"/>
            <w:r w:rsidRPr="007E6C65">
              <w:rPr>
                <w:rFonts w:ascii="Times New Roman" w:hAnsi="Times New Roman" w:cs="Times New Roman"/>
                <w:sz w:val="24"/>
                <w:szCs w:val="24"/>
                <w:lang w:val="lt-LT"/>
              </w:rPr>
              <w:t>kbps</w:t>
            </w:r>
            <w:proofErr w:type="spellEnd"/>
            <w:r w:rsidRPr="007E6C65">
              <w:rPr>
                <w:rFonts w:ascii="Times New Roman" w:hAnsi="Times New Roman" w:cs="Times New Roman"/>
                <w:sz w:val="24"/>
                <w:szCs w:val="24"/>
                <w:lang w:val="lt-LT"/>
              </w:rPr>
              <w:t xml:space="preserve"> duomenų srautu. </w:t>
            </w:r>
          </w:p>
          <w:p w14:paraId="76B3781D"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Užsakovui suteikiama stebėjimo kamerų valdymo sistema be papildomų mokesčių;</w:t>
            </w:r>
          </w:p>
          <w:p w14:paraId="43041D72" w14:textId="77777777" w:rsidR="00214E6B" w:rsidRPr="007E6C65" w:rsidRDefault="00214E6B" w:rsidP="00214E6B">
            <w:pPr>
              <w:jc w:val="both"/>
              <w:rPr>
                <w:rFonts w:ascii="Times New Roman" w:hAnsi="Times New Roman" w:cs="Times New Roman"/>
                <w:b/>
                <w:bCs/>
                <w:sz w:val="24"/>
                <w:szCs w:val="24"/>
                <w:lang w:val="lt-LT"/>
              </w:rPr>
            </w:pPr>
          </w:p>
          <w:p w14:paraId="5E13F562" w14:textId="58EACE95"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b/>
                <w:bCs/>
                <w:sz w:val="24"/>
                <w:szCs w:val="24"/>
                <w:lang w:val="lt-LT"/>
              </w:rPr>
              <w:t xml:space="preserve">Realaus laiko peržiūra ir nuotolinis prisijungimas: </w:t>
            </w:r>
            <w:r w:rsidRPr="007E6C65">
              <w:rPr>
                <w:rFonts w:ascii="Times New Roman" w:hAnsi="Times New Roman" w:cs="Times New Roman"/>
                <w:sz w:val="24"/>
                <w:szCs w:val="24"/>
                <w:lang w:val="lt-LT"/>
              </w:rPr>
              <w:t xml:space="preserve">Užsakovas savo sąskaita sumontuoja ir prie vaizdo įrašymo sistemos prijungia 4G modemą, tam kad būtų nuotolinė prieiga vaizdo medžiagos peržiūrai. Modemas jungiamas per </w:t>
            </w:r>
            <w:proofErr w:type="spellStart"/>
            <w:r w:rsidRPr="007E6C65">
              <w:rPr>
                <w:rFonts w:ascii="Times New Roman" w:hAnsi="Times New Roman" w:cs="Times New Roman"/>
                <w:sz w:val="24"/>
                <w:szCs w:val="24"/>
                <w:lang w:val="lt-LT"/>
              </w:rPr>
              <w:t>Ethernet</w:t>
            </w:r>
            <w:proofErr w:type="spellEnd"/>
            <w:r w:rsidRPr="007E6C65">
              <w:rPr>
                <w:rFonts w:ascii="Times New Roman" w:hAnsi="Times New Roman" w:cs="Times New Roman"/>
                <w:sz w:val="24"/>
                <w:szCs w:val="24"/>
                <w:lang w:val="lt-LT"/>
              </w:rPr>
              <w:t xml:space="preserve"> RJ45 jungtį. Dėl vaizdo įrašymo įrangos suderinamumo tiekėjui būtina konsultuotis su užsakovu.</w:t>
            </w:r>
          </w:p>
          <w:p w14:paraId="3EB98C64" w14:textId="77777777"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Saugumo reikalavimai:</w:t>
            </w:r>
          </w:p>
          <w:p w14:paraId="6F4B9F5C" w14:textId="7601EE5C"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Kamerų ir NVR (įrašymo įrenginio) gamintojas turi atitikti ISO/IEC 27001 standartą arba analogišką.</w:t>
            </w:r>
          </w:p>
          <w:p w14:paraId="432D6DC1" w14:textId="38DE193B" w:rsidR="00214E6B" w:rsidRPr="007E6C65" w:rsidRDefault="00214E6B" w:rsidP="00214E6B">
            <w:pPr>
              <w:jc w:val="both"/>
              <w:rPr>
                <w:rFonts w:ascii="Times New Roman" w:hAnsi="Times New Roman" w:cs="Times New Roman"/>
                <w:sz w:val="24"/>
                <w:szCs w:val="24"/>
                <w:lang w:val="lt-LT"/>
              </w:rPr>
            </w:pPr>
            <w:r w:rsidRPr="00A777A7">
              <w:rPr>
                <w:rFonts w:ascii="Times New Roman" w:hAnsi="Times New Roman" w:cs="Times New Roman"/>
                <w:sz w:val="24"/>
                <w:szCs w:val="24"/>
                <w:lang w:val="lt-LT"/>
              </w:rPr>
              <w:t xml:space="preserve">Kameros ir NVR (įrašymo įrenginys)  turi atitikti bent vieną iš šių kibernetinio saugumo sertifikatų: </w:t>
            </w:r>
            <w:proofErr w:type="spellStart"/>
            <w:r w:rsidRPr="00A777A7">
              <w:rPr>
                <w:rFonts w:ascii="Times New Roman" w:hAnsi="Times New Roman" w:cs="Times New Roman"/>
                <w:sz w:val="24"/>
                <w:szCs w:val="24"/>
                <w:lang w:val="lt-LT"/>
              </w:rPr>
              <w:t>SySS</w:t>
            </w:r>
            <w:proofErr w:type="spellEnd"/>
            <w:r w:rsidRPr="00A777A7">
              <w:rPr>
                <w:rFonts w:ascii="Times New Roman" w:hAnsi="Times New Roman" w:cs="Times New Roman"/>
                <w:sz w:val="24"/>
                <w:szCs w:val="24"/>
                <w:lang w:val="lt-LT"/>
              </w:rPr>
              <w:t xml:space="preserve">, </w:t>
            </w:r>
            <w:r w:rsidR="00AE5201">
              <w:rPr>
                <w:rFonts w:ascii="Times New Roman" w:hAnsi="Times New Roman" w:cs="Times New Roman"/>
                <w:sz w:val="24"/>
                <w:szCs w:val="24"/>
                <w:lang w:val="lt-LT"/>
              </w:rPr>
              <w:t xml:space="preserve">NDAA, </w:t>
            </w:r>
            <w:r w:rsidR="00245417" w:rsidRPr="00A777A7">
              <w:rPr>
                <w:rFonts w:ascii="Times New Roman" w:hAnsi="Times New Roman" w:cs="Times New Roman"/>
                <w:sz w:val="24"/>
                <w:szCs w:val="24"/>
                <w:lang w:val="lt-LT"/>
              </w:rPr>
              <w:t>UL CAP</w:t>
            </w:r>
            <w:r w:rsidRPr="00A777A7">
              <w:rPr>
                <w:rFonts w:ascii="Times New Roman" w:hAnsi="Times New Roman" w:cs="Times New Roman"/>
                <w:sz w:val="24"/>
                <w:szCs w:val="24"/>
                <w:lang w:val="lt-LT"/>
              </w:rPr>
              <w:t xml:space="preserve">, </w:t>
            </w:r>
            <w:proofErr w:type="spellStart"/>
            <w:r w:rsidRPr="00A777A7">
              <w:rPr>
                <w:rFonts w:ascii="Times New Roman" w:hAnsi="Times New Roman" w:cs="Times New Roman"/>
                <w:sz w:val="24"/>
                <w:szCs w:val="24"/>
                <w:lang w:val="lt-LT"/>
              </w:rPr>
              <w:t>Secure</w:t>
            </w:r>
            <w:proofErr w:type="spellEnd"/>
            <w:r w:rsidRPr="00A777A7">
              <w:rPr>
                <w:rFonts w:ascii="Times New Roman" w:hAnsi="Times New Roman" w:cs="Times New Roman"/>
                <w:sz w:val="24"/>
                <w:szCs w:val="24"/>
                <w:lang w:val="lt-LT"/>
              </w:rPr>
              <w:t xml:space="preserve"> </w:t>
            </w:r>
            <w:proofErr w:type="spellStart"/>
            <w:r w:rsidRPr="00A777A7">
              <w:rPr>
                <w:rFonts w:ascii="Times New Roman" w:hAnsi="Times New Roman" w:cs="Times New Roman"/>
                <w:sz w:val="24"/>
                <w:szCs w:val="24"/>
                <w:lang w:val="lt-LT"/>
              </w:rPr>
              <w:t>by</w:t>
            </w:r>
            <w:proofErr w:type="spellEnd"/>
            <w:r w:rsidRPr="00A777A7">
              <w:rPr>
                <w:rFonts w:ascii="Times New Roman" w:hAnsi="Times New Roman" w:cs="Times New Roman"/>
                <w:sz w:val="24"/>
                <w:szCs w:val="24"/>
                <w:lang w:val="lt-LT"/>
              </w:rPr>
              <w:t xml:space="preserve"> </w:t>
            </w:r>
            <w:proofErr w:type="spellStart"/>
            <w:r w:rsidRPr="00A777A7">
              <w:rPr>
                <w:rFonts w:ascii="Times New Roman" w:hAnsi="Times New Roman" w:cs="Times New Roman"/>
                <w:sz w:val="24"/>
                <w:szCs w:val="24"/>
                <w:lang w:val="lt-LT"/>
              </w:rPr>
              <w:t>Default</w:t>
            </w:r>
            <w:proofErr w:type="spellEnd"/>
            <w:r w:rsidRPr="00A777A7">
              <w:rPr>
                <w:rFonts w:ascii="Times New Roman" w:hAnsi="Times New Roman" w:cs="Times New Roman"/>
                <w:sz w:val="24"/>
                <w:szCs w:val="24"/>
                <w:lang w:val="lt-LT"/>
              </w:rPr>
              <w:t xml:space="preserve">, CNPP </w:t>
            </w:r>
            <w:proofErr w:type="spellStart"/>
            <w:r w:rsidRPr="00A777A7">
              <w:rPr>
                <w:rFonts w:ascii="Times New Roman" w:hAnsi="Times New Roman" w:cs="Times New Roman"/>
                <w:sz w:val="24"/>
                <w:szCs w:val="24"/>
                <w:lang w:val="lt-LT"/>
              </w:rPr>
              <w:t>trust</w:t>
            </w:r>
            <w:proofErr w:type="spellEnd"/>
            <w:r w:rsidRPr="00A777A7">
              <w:rPr>
                <w:rFonts w:ascii="Times New Roman" w:hAnsi="Times New Roman" w:cs="Times New Roman"/>
                <w:sz w:val="24"/>
                <w:szCs w:val="24"/>
                <w:lang w:val="lt-LT"/>
              </w:rPr>
              <w:t xml:space="preserve"> </w:t>
            </w:r>
            <w:proofErr w:type="spellStart"/>
            <w:r w:rsidRPr="00A777A7">
              <w:rPr>
                <w:rFonts w:ascii="Times New Roman" w:hAnsi="Times New Roman" w:cs="Times New Roman"/>
                <w:sz w:val="24"/>
                <w:szCs w:val="24"/>
                <w:lang w:val="lt-LT"/>
              </w:rPr>
              <w:t>passport</w:t>
            </w:r>
            <w:proofErr w:type="spellEnd"/>
            <w:r w:rsidRPr="00A777A7">
              <w:rPr>
                <w:rFonts w:ascii="Times New Roman" w:hAnsi="Times New Roman" w:cs="Times New Roman"/>
                <w:sz w:val="24"/>
                <w:szCs w:val="24"/>
                <w:lang w:val="lt-LT"/>
              </w:rPr>
              <w:t>.</w:t>
            </w:r>
          </w:p>
          <w:p w14:paraId="6F59E5CC" w14:textId="09EF5B5F" w:rsidR="006A18FE" w:rsidRPr="007E6C65" w:rsidRDefault="006A18FE" w:rsidP="00F85C36">
            <w:pPr>
              <w:jc w:val="both"/>
              <w:rPr>
                <w:rFonts w:ascii="Times New Roman" w:hAnsi="Times New Roman" w:cs="Times New Roman"/>
                <w:sz w:val="24"/>
                <w:szCs w:val="24"/>
                <w:lang w:val="lt-LT"/>
              </w:rPr>
            </w:pPr>
          </w:p>
        </w:tc>
        <w:tc>
          <w:tcPr>
            <w:tcW w:w="2998" w:type="dxa"/>
          </w:tcPr>
          <w:p w14:paraId="63517A36" w14:textId="77777777" w:rsidR="006A18FE" w:rsidRPr="007E6C65" w:rsidRDefault="006A18FE" w:rsidP="00E01676">
            <w:pPr>
              <w:jc w:val="both"/>
              <w:rPr>
                <w:rFonts w:ascii="Times New Roman" w:hAnsi="Times New Roman" w:cs="Times New Roman"/>
                <w:b/>
                <w:sz w:val="24"/>
                <w:szCs w:val="24"/>
                <w:lang w:val="lt-LT"/>
              </w:rPr>
            </w:pPr>
          </w:p>
        </w:tc>
      </w:tr>
      <w:tr w:rsidR="006A18FE" w:rsidRPr="007E6C65" w14:paraId="6354DB34" w14:textId="47CA4C86" w:rsidTr="006A18FE">
        <w:tc>
          <w:tcPr>
            <w:tcW w:w="456" w:type="dxa"/>
          </w:tcPr>
          <w:p w14:paraId="77FB3EE3" w14:textId="3F855396" w:rsidR="006A18FE" w:rsidRPr="007E6C65" w:rsidRDefault="006A18FE" w:rsidP="00ED0709">
            <w:pPr>
              <w:jc w:val="center"/>
              <w:rPr>
                <w:rFonts w:ascii="Times New Roman" w:hAnsi="Times New Roman" w:cs="Times New Roman"/>
                <w:bCs/>
                <w:sz w:val="24"/>
                <w:szCs w:val="24"/>
                <w:lang w:val="lt-LT"/>
              </w:rPr>
            </w:pPr>
            <w:bookmarkStart w:id="1" w:name="_Hlk136259886"/>
            <w:r w:rsidRPr="007E6C65">
              <w:rPr>
                <w:rFonts w:ascii="Times New Roman" w:hAnsi="Times New Roman" w:cs="Times New Roman"/>
                <w:bCs/>
                <w:sz w:val="24"/>
                <w:szCs w:val="24"/>
                <w:lang w:val="lt-LT"/>
              </w:rPr>
              <w:lastRenderedPageBreak/>
              <w:t>10</w:t>
            </w:r>
          </w:p>
        </w:tc>
        <w:tc>
          <w:tcPr>
            <w:tcW w:w="2064" w:type="dxa"/>
          </w:tcPr>
          <w:p w14:paraId="33CE5EBE" w14:textId="77777777" w:rsidR="006A18FE" w:rsidRPr="007E6C65" w:rsidRDefault="006A18FE" w:rsidP="00CC7A5E">
            <w:pPr>
              <w:rPr>
                <w:rFonts w:ascii="Times New Roman" w:hAnsi="Times New Roman" w:cs="Times New Roman"/>
                <w:b/>
                <w:bCs/>
                <w:color w:val="000000" w:themeColor="text1"/>
                <w:lang w:val="lt-LT"/>
              </w:rPr>
            </w:pPr>
            <w:r w:rsidRPr="007E6C65">
              <w:rPr>
                <w:rFonts w:ascii="Times New Roman" w:hAnsi="Times New Roman" w:cs="Times New Roman"/>
                <w:b/>
                <w:bCs/>
                <w:color w:val="000000" w:themeColor="text1"/>
                <w:lang w:val="lt-LT"/>
              </w:rPr>
              <w:t>Oro kondicionavimo (šildymo/vėdinimo) sistema</w:t>
            </w:r>
          </w:p>
          <w:p w14:paraId="7CA88B43" w14:textId="0F156E01" w:rsidR="006A18FE" w:rsidRPr="007E6C65" w:rsidRDefault="006A18FE" w:rsidP="00CC7A5E">
            <w:pPr>
              <w:rPr>
                <w:rFonts w:ascii="Times New Roman" w:hAnsi="Times New Roman" w:cs="Times New Roman"/>
                <w:b/>
                <w:bCs/>
                <w:color w:val="000000" w:themeColor="text1"/>
                <w:lang w:val="lt-LT"/>
              </w:rPr>
            </w:pPr>
            <w:r w:rsidRPr="007E6C65">
              <w:rPr>
                <w:rFonts w:ascii="Times New Roman" w:hAnsi="Times New Roman" w:cs="Times New Roman"/>
                <w:b/>
                <w:bCs/>
                <w:color w:val="000000" w:themeColor="text1"/>
                <w:lang w:val="lt-LT"/>
              </w:rPr>
              <w:t>Reikalavimai keleivių salono vėdinimui / šildymui:</w:t>
            </w:r>
          </w:p>
        </w:tc>
        <w:tc>
          <w:tcPr>
            <w:tcW w:w="5012" w:type="dxa"/>
          </w:tcPr>
          <w:p w14:paraId="796F5533" w14:textId="73E7AFD7" w:rsidR="006A18FE" w:rsidRPr="007E6C65" w:rsidRDefault="006A18FE" w:rsidP="00C73523">
            <w:pPr>
              <w:ind w:right="49"/>
              <w:contextualSpacing/>
              <w:jc w:val="both"/>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 xml:space="preserve">Transporto priemonės keleivių salone turi būti užtikrinamas nuolatinis vėdinimas arba šildymas reaguojant į aplinkos oro sąlygas. </w:t>
            </w:r>
            <w:r w:rsidR="00CA171D" w:rsidRPr="007E6C65">
              <w:rPr>
                <w:rFonts w:ascii="Times New Roman" w:hAnsi="Times New Roman" w:cs="Times New Roman"/>
                <w:color w:val="000000" w:themeColor="text1"/>
                <w:lang w:val="lt-LT"/>
              </w:rPr>
              <w:t>Transporto priemonėse privalo būti sumontuota ir veikianti kondicionavimo sistema</w:t>
            </w:r>
            <w:r w:rsidR="00CA171D">
              <w:rPr>
                <w:rFonts w:ascii="Times New Roman" w:hAnsi="Times New Roman" w:cs="Times New Roman"/>
                <w:color w:val="000000" w:themeColor="text1"/>
                <w:lang w:val="lt-LT"/>
              </w:rPr>
              <w:t xml:space="preserve">, kuri </w:t>
            </w:r>
            <w:r w:rsidRPr="007E6C65">
              <w:rPr>
                <w:rFonts w:ascii="Times New Roman" w:hAnsi="Times New Roman" w:cs="Times New Roman"/>
                <w:color w:val="000000" w:themeColor="text1"/>
                <w:lang w:val="lt-LT"/>
              </w:rPr>
              <w:t>užtikri</w:t>
            </w:r>
            <w:r w:rsidR="00CA171D">
              <w:rPr>
                <w:rFonts w:ascii="Times New Roman" w:hAnsi="Times New Roman" w:cs="Times New Roman"/>
                <w:color w:val="000000" w:themeColor="text1"/>
                <w:lang w:val="lt-LT"/>
              </w:rPr>
              <w:t>ntų</w:t>
            </w:r>
            <w:r w:rsidRPr="007E6C65">
              <w:rPr>
                <w:rFonts w:ascii="Times New Roman" w:hAnsi="Times New Roman" w:cs="Times New Roman"/>
                <w:color w:val="000000" w:themeColor="text1"/>
                <w:lang w:val="lt-LT"/>
              </w:rPr>
              <w:t xml:space="preserve"> keleivių salono oro temperatūros reikalavim</w:t>
            </w:r>
            <w:r w:rsidR="00CA171D">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nustatyt</w:t>
            </w:r>
            <w:r w:rsidR="00CA171D">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xml:space="preserve"> Keleivių ir bagažo vežimo taisyklėse. Jeigu Keleivių ir bagažo vežimo taisyklės nenustato reikalavimų temperatūrai transporto priemonės keleivių salone, temperatūros dydis privalo būti iš anksto suderintas su Užsakovu.  </w:t>
            </w:r>
          </w:p>
          <w:p w14:paraId="577EE132" w14:textId="3351E3F0" w:rsidR="00D5130B" w:rsidRDefault="006A18FE" w:rsidP="006008CF">
            <w:pPr>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 xml:space="preserve">Transporto priemonėse turi būti įrengta vairuotojo darbo vietos ir keleivių salono oro kondicionavimo (šildymo ir šaldymo) sistemos, kurios  turi būti su atskirais valdymais vairuotojo darbo vietai ir keleivių salonui. </w:t>
            </w:r>
          </w:p>
          <w:p w14:paraId="3F28C94B" w14:textId="70E32BB3" w:rsidR="00480AF2" w:rsidRPr="00ED1DBA" w:rsidRDefault="00480AF2" w:rsidP="00ED1DBA">
            <w:pPr>
              <w:spacing w:after="200"/>
              <w:jc w:val="both"/>
              <w:rPr>
                <w:rFonts w:ascii="Times New Roman" w:hAnsi="Times New Roman" w:cs="Times New Roman"/>
              </w:rPr>
            </w:pPr>
            <w:proofErr w:type="spellStart"/>
            <w:r w:rsidRPr="00ED1DBA">
              <w:rPr>
                <w:rFonts w:ascii="Times New Roman" w:hAnsi="Times New Roman" w:cs="Times New Roman"/>
              </w:rPr>
              <w:t>Transporto</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priemonės</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negali</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būti</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šildomos</w:t>
            </w:r>
            <w:proofErr w:type="spellEnd"/>
            <w:r w:rsidRPr="00ED1DBA">
              <w:rPr>
                <w:rFonts w:ascii="Times New Roman" w:hAnsi="Times New Roman" w:cs="Times New Roman"/>
              </w:rPr>
              <w:t>/</w:t>
            </w:r>
            <w:proofErr w:type="spellStart"/>
            <w:r w:rsidRPr="00ED1DBA">
              <w:rPr>
                <w:rFonts w:ascii="Times New Roman" w:hAnsi="Times New Roman" w:cs="Times New Roman"/>
              </w:rPr>
              <w:t>vėsinamos</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įrengta</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šildymo</w:t>
            </w:r>
            <w:proofErr w:type="spellEnd"/>
            <w:r w:rsidRPr="00ED1DBA">
              <w:rPr>
                <w:rFonts w:ascii="Times New Roman" w:hAnsi="Times New Roman" w:cs="Times New Roman"/>
              </w:rPr>
              <w:t>/</w:t>
            </w:r>
            <w:proofErr w:type="spellStart"/>
            <w:r w:rsidRPr="00ED1DBA">
              <w:rPr>
                <w:rFonts w:ascii="Times New Roman" w:hAnsi="Times New Roman" w:cs="Times New Roman"/>
              </w:rPr>
              <w:t>vėsinimo</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sistema</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kuri</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naudoja</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iškastinį</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kurą</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dyzeliną</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ar</w:t>
            </w:r>
            <w:proofErr w:type="spellEnd"/>
            <w:r w:rsidRPr="00ED1DBA">
              <w:rPr>
                <w:rFonts w:ascii="Times New Roman" w:hAnsi="Times New Roman" w:cs="Times New Roman"/>
              </w:rPr>
              <w:t xml:space="preserve"> pan.). </w:t>
            </w:r>
          </w:p>
          <w:p w14:paraId="73D2F08E" w14:textId="18EB52D9" w:rsidR="006A18FE" w:rsidRPr="007E6C65" w:rsidRDefault="006A18FE" w:rsidP="00CC7A5E">
            <w:pPr>
              <w:ind w:right="49"/>
              <w:contextualSpacing/>
              <w:jc w:val="both"/>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Jeigu maršrutų vykdymo metu transporto priemonės vėdinimo/oro kondicionavimo sistema sugedo, transporto priemonės salono vėdinimas privalo būti užtikrinamas natūraliomis priemonėmis t. y. transporto priemonėje vairuotojas privalo  atidaryti langus, stoglangius ar kitą sistemą, kuri užtikrintų transporto priemonės natūralų vėdinimą/šildymą.</w:t>
            </w:r>
          </w:p>
          <w:p w14:paraId="68F392D5" w14:textId="00E8E895" w:rsidR="006A18FE" w:rsidRPr="007E6C65" w:rsidRDefault="006A18FE" w:rsidP="00C73523">
            <w:pPr>
              <w:ind w:right="49"/>
              <w:contextualSpacing/>
              <w:jc w:val="both"/>
              <w:rPr>
                <w:rFonts w:ascii="Times New Roman" w:hAnsi="Times New Roman" w:cs="Times New Roman"/>
                <w:color w:val="000000" w:themeColor="text1"/>
                <w:lang w:val="lt-LT"/>
              </w:rPr>
            </w:pPr>
          </w:p>
        </w:tc>
        <w:tc>
          <w:tcPr>
            <w:tcW w:w="2998" w:type="dxa"/>
          </w:tcPr>
          <w:p w14:paraId="36E68187" w14:textId="77777777" w:rsidR="006A18FE" w:rsidRPr="007E6C65" w:rsidRDefault="006A18FE" w:rsidP="00C73523">
            <w:pPr>
              <w:ind w:right="49"/>
              <w:contextualSpacing/>
              <w:jc w:val="both"/>
              <w:rPr>
                <w:rFonts w:ascii="Times New Roman" w:hAnsi="Times New Roman" w:cs="Times New Roman"/>
                <w:color w:val="000000" w:themeColor="text1"/>
                <w:lang w:val="lt-LT"/>
              </w:rPr>
            </w:pPr>
          </w:p>
        </w:tc>
      </w:tr>
    </w:tbl>
    <w:bookmarkEnd w:id="1"/>
    <w:p w14:paraId="1AEB6B9B" w14:textId="13C0A48F" w:rsidR="008523DA" w:rsidRPr="00ED1DBA" w:rsidRDefault="008523DA" w:rsidP="00ED1DBA">
      <w:pPr>
        <w:ind w:left="-426"/>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ED1DBA">
        <w:rPr>
          <w:rFonts w:ascii="Times New Roman" w:hAnsi="Times New Roman" w:cs="Times New Roman"/>
          <w:sz w:val="24"/>
          <w:szCs w:val="24"/>
        </w:rPr>
        <w:t xml:space="preserve">Visos </w:t>
      </w:r>
      <w:proofErr w:type="spellStart"/>
      <w:r w:rsidRPr="00ED1DBA">
        <w:rPr>
          <w:rFonts w:ascii="Times New Roman" w:hAnsi="Times New Roman" w:cs="Times New Roman"/>
          <w:sz w:val="24"/>
          <w:szCs w:val="24"/>
        </w:rPr>
        <w:t>infrastruktūros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reikalingos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sutarties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vykdymo</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metu</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naudojamų</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transporto</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priemonių</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krovimui</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ir</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ekploatavimui</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išlaidas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vežėjas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tiekėjas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įskaičiuoja</w:t>
      </w:r>
      <w:proofErr w:type="spellEnd"/>
      <w:r w:rsidRPr="00ED1DBA">
        <w:rPr>
          <w:rFonts w:ascii="Times New Roman" w:hAnsi="Times New Roman" w:cs="Times New Roman"/>
          <w:sz w:val="24"/>
          <w:szCs w:val="24"/>
        </w:rPr>
        <w:t xml:space="preserve"> į </w:t>
      </w:r>
      <w:proofErr w:type="spellStart"/>
      <w:r w:rsidRPr="00ED1DBA">
        <w:rPr>
          <w:rFonts w:ascii="Times New Roman" w:hAnsi="Times New Roman" w:cs="Times New Roman"/>
          <w:sz w:val="24"/>
          <w:szCs w:val="24"/>
        </w:rPr>
        <w:t>teikiamą</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kilometro</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įkainį</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ir</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jeigu</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reikalinga</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infrstrauktūrą</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įrengia</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savo</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lėšomis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ir</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rizika</w:t>
      </w:r>
      <w:proofErr w:type="spellEnd"/>
      <w:r w:rsidRPr="00ED1DBA">
        <w:rPr>
          <w:rFonts w:ascii="Times New Roman" w:hAnsi="Times New Roman" w:cs="Times New Roman"/>
          <w:sz w:val="24"/>
          <w:szCs w:val="24"/>
        </w:rPr>
        <w:t>.</w:t>
      </w:r>
    </w:p>
    <w:p w14:paraId="4115B11B" w14:textId="5E0A635E" w:rsidR="00346D66" w:rsidRPr="007E6C65" w:rsidRDefault="00346D66" w:rsidP="00346D66">
      <w:pPr>
        <w:spacing w:after="0"/>
        <w:jc w:val="both"/>
        <w:rPr>
          <w:rFonts w:ascii="Times New Roman" w:hAnsi="Times New Roman" w:cs="Times New Roman"/>
          <w:color w:val="FF0000"/>
          <w:sz w:val="24"/>
          <w:szCs w:val="24"/>
          <w:lang w:val="lt-LT"/>
        </w:rPr>
      </w:pPr>
    </w:p>
    <w:p w14:paraId="447E8189" w14:textId="0C1D7A2A" w:rsidR="00467F9A" w:rsidRPr="007E6C65" w:rsidRDefault="00FA559D" w:rsidP="00F85C36">
      <w:pPr>
        <w:spacing w:after="0"/>
        <w:jc w:val="center"/>
        <w:rPr>
          <w:rFonts w:ascii="Times New Roman" w:hAnsi="Times New Roman" w:cs="Times New Roman"/>
          <w:color w:val="FF0000"/>
          <w:sz w:val="24"/>
          <w:szCs w:val="24"/>
          <w:lang w:val="lt-LT"/>
        </w:rPr>
      </w:pPr>
      <w:r w:rsidRPr="007E6C65">
        <w:rPr>
          <w:rFonts w:ascii="Times New Roman" w:hAnsi="Times New Roman" w:cs="Times New Roman"/>
          <w:color w:val="FF0000"/>
          <w:sz w:val="24"/>
          <w:szCs w:val="24"/>
          <w:lang w:val="lt-LT"/>
        </w:rPr>
        <w:br/>
      </w:r>
      <w:r w:rsidRPr="007E6C65">
        <w:rPr>
          <w:rFonts w:ascii="Times New Roman" w:hAnsi="Times New Roman" w:cs="Times New Roman"/>
          <w:color w:val="FF0000"/>
          <w:sz w:val="24"/>
          <w:szCs w:val="24"/>
          <w:lang w:val="lt-LT"/>
        </w:rPr>
        <w:br/>
      </w:r>
      <w:r w:rsidR="00467F9A" w:rsidRPr="007E6C65">
        <w:rPr>
          <w:rFonts w:ascii="Times New Roman" w:hAnsi="Times New Roman" w:cs="Times New Roman"/>
          <w:color w:val="FF0000"/>
          <w:sz w:val="24"/>
          <w:szCs w:val="24"/>
          <w:lang w:val="lt-LT"/>
        </w:rPr>
        <w:t>2 pav.</w:t>
      </w:r>
    </w:p>
    <w:p w14:paraId="1779F4CB" w14:textId="69E16CFF" w:rsidR="00E07F16" w:rsidRPr="007E6C65" w:rsidRDefault="00E07F16" w:rsidP="00B309E0">
      <w:pPr>
        <w:spacing w:after="0"/>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M</w:t>
      </w:r>
      <w:r w:rsidR="00F85C36" w:rsidRPr="007E6C65">
        <w:rPr>
          <w:rFonts w:ascii="Times New Roman" w:hAnsi="Times New Roman" w:cs="Times New Roman"/>
          <w:b/>
          <w:bCs/>
          <w:sz w:val="24"/>
          <w:szCs w:val="24"/>
          <w:lang w:val="lt-LT"/>
        </w:rPr>
        <w:t>3</w:t>
      </w:r>
    </w:p>
    <w:p w14:paraId="62F2B82A" w14:textId="77777777" w:rsidR="00F85C36" w:rsidRPr="007E6C65" w:rsidRDefault="00F85C36" w:rsidP="00F85C36">
      <w:pPr>
        <w:spacing w:after="0"/>
        <w:rPr>
          <w:rFonts w:ascii="Times New Roman" w:hAnsi="Times New Roman" w:cs="Times New Roman"/>
          <w:b/>
          <w:bCs/>
          <w:lang w:val="lt-LT"/>
        </w:rPr>
      </w:pPr>
      <w:r w:rsidRPr="007E6C65">
        <w:rPr>
          <w:rFonts w:ascii="Times New Roman" w:hAnsi="Times New Roman" w:cs="Times New Roman"/>
          <w:b/>
          <w:bCs/>
          <w:lang w:val="lt-LT"/>
        </w:rPr>
        <w:t>Principinė įrangos instaliacijos schema (priklausomai nuo autobuso modelio įrangos išdėstymas gali skirtis ir turi būti suderintas su užsakovu):</w:t>
      </w:r>
    </w:p>
    <w:p w14:paraId="76A20F13" w14:textId="4AB75802" w:rsidR="00F85C36" w:rsidRPr="007E6C65" w:rsidRDefault="00F85C36" w:rsidP="00F85C36">
      <w:pPr>
        <w:pStyle w:val="Sraopastraipa"/>
        <w:numPr>
          <w:ilvl w:val="0"/>
          <w:numId w:val="3"/>
        </w:numPr>
        <w:spacing w:after="0"/>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Turi būti sumontuojamos 24V, iki 10A dvi srovės grandinės (el. bilieto sistemos valdikliui ir vairuotojo planšetei) su įvadiniais saugikliai</w:t>
      </w:r>
      <w:r w:rsidR="00173D85" w:rsidRPr="007E6C65">
        <w:rPr>
          <w:rFonts w:ascii="Times New Roman" w:eastAsia="SimSun" w:hAnsi="Times New Roman" w:cs="Times New Roman"/>
          <w:sz w:val="24"/>
          <w:szCs w:val="24"/>
          <w:lang w:val="lt-LT"/>
        </w:rPr>
        <w:t>s</w:t>
      </w:r>
      <w:r w:rsidRPr="007E6C65">
        <w:rPr>
          <w:rFonts w:ascii="Times New Roman" w:eastAsia="SimSun" w:hAnsi="Times New Roman" w:cs="Times New Roman"/>
          <w:sz w:val="24"/>
          <w:szCs w:val="24"/>
          <w:lang w:val="lt-LT"/>
        </w:rPr>
        <w:t xml:space="preserve">; </w:t>
      </w:r>
    </w:p>
    <w:p w14:paraId="42293A6C" w14:textId="0E3C0D70"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proofErr w:type="spellStart"/>
      <w:r w:rsidRPr="007E6C65">
        <w:rPr>
          <w:rFonts w:ascii="Times New Roman" w:eastAsia="SimSun" w:hAnsi="Times New Roman" w:cs="Times New Roman"/>
          <w:sz w:val="24"/>
          <w:szCs w:val="24"/>
          <w:lang w:val="lt-LT"/>
        </w:rPr>
        <w:t>Kaweflex</w:t>
      </w:r>
      <w:proofErr w:type="spellEnd"/>
      <w:r w:rsidRPr="007E6C65">
        <w:rPr>
          <w:rFonts w:ascii="Times New Roman" w:eastAsia="SimSun" w:hAnsi="Times New Roman" w:cs="Times New Roman"/>
          <w:sz w:val="24"/>
          <w:szCs w:val="24"/>
          <w:lang w:val="lt-LT"/>
        </w:rPr>
        <w:t xml:space="preserve"> laidas – 6530 SK-TP-C-PUR UL/CSA 3*2* 0,25 mm2 storio gyslos, (awg24)</w:t>
      </w:r>
      <w:r w:rsidR="00D84D4B">
        <w:rPr>
          <w:rFonts w:ascii="Times New Roman" w:eastAsia="SimSun" w:hAnsi="Times New Roman" w:cs="Times New Roman"/>
          <w:sz w:val="24"/>
          <w:szCs w:val="24"/>
          <w:lang w:val="lt-LT"/>
        </w:rPr>
        <w:t xml:space="preserve"> arba atitikmuo</w:t>
      </w:r>
      <w:r w:rsidRPr="007E6C65">
        <w:rPr>
          <w:rFonts w:ascii="Times New Roman" w:eastAsia="SimSun" w:hAnsi="Times New Roman" w:cs="Times New Roman"/>
          <w:sz w:val="24"/>
          <w:szCs w:val="24"/>
          <w:lang w:val="lt-LT"/>
        </w:rPr>
        <w:t>;</w:t>
      </w:r>
    </w:p>
    <w:p w14:paraId="42B31814" w14:textId="77777777"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M1 laido gyslų storis ne mažiau nei 0,75 mm2;</w:t>
      </w:r>
    </w:p>
    <w:p w14:paraId="6BAF7EBF" w14:textId="77777777"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Visų kabelių abiejuose galuose turi būti palikta ne mažiau nei 1 m. rezervo;</w:t>
      </w:r>
    </w:p>
    <w:p w14:paraId="469E4A2A" w14:textId="6C6EE837" w:rsidR="00F85C36" w:rsidRPr="007E6C65" w:rsidRDefault="00F85C36" w:rsidP="00F85C36">
      <w:pPr>
        <w:numPr>
          <w:ilvl w:val="0"/>
          <w:numId w:val="3"/>
        </w:numPr>
        <w:spacing w:after="0" w:line="259" w:lineRule="auto"/>
        <w:contextualSpacing/>
        <w:jc w:val="both"/>
        <w:rPr>
          <w:rFonts w:ascii="Times New Roman" w:eastAsia="SimSun" w:hAnsi="Times New Roman" w:cs="Times New Roman"/>
          <w:sz w:val="24"/>
          <w:szCs w:val="24"/>
          <w:lang w:val="lt-LT"/>
        </w:rPr>
      </w:pPr>
      <w:r w:rsidRPr="007E6C65">
        <w:rPr>
          <w:noProof/>
          <w:lang w:val="lt-LT" w:eastAsia="lt-LT"/>
        </w:rPr>
        <w:drawing>
          <wp:anchor distT="0" distB="0" distL="114300" distR="114300" simplePos="0" relativeHeight="251659264" behindDoc="1" locked="0" layoutInCell="1" allowOverlap="1" wp14:anchorId="419012F0" wp14:editId="4F334752">
            <wp:simplePos x="0" y="0"/>
            <wp:positionH relativeFrom="margin">
              <wp:posOffset>321945</wp:posOffset>
            </wp:positionH>
            <wp:positionV relativeFrom="paragraph">
              <wp:posOffset>461010</wp:posOffset>
            </wp:positionV>
            <wp:extent cx="5582285" cy="35483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C65">
        <w:rPr>
          <w:rFonts w:ascii="Times New Roman" w:eastAsia="SimSun" w:hAnsi="Times New Roman" w:cs="Times New Roman"/>
          <w:sz w:val="24"/>
          <w:szCs w:val="24"/>
          <w:lang w:val="lt-LT"/>
        </w:rPr>
        <w:t>Ant stogo turi būti pritvirtinta GPS/GSM antena ir laidai atvesti iki OBC. Anteną pateikia užsakovas</w:t>
      </w:r>
      <w:r w:rsidR="00CE0385" w:rsidRPr="007E6C65">
        <w:rPr>
          <w:rFonts w:ascii="Times New Roman" w:eastAsia="SimSun" w:hAnsi="Times New Roman" w:cs="Times New Roman"/>
          <w:sz w:val="24"/>
          <w:szCs w:val="24"/>
          <w:lang w:val="lt-LT"/>
        </w:rPr>
        <w:t xml:space="preserve">. </w:t>
      </w:r>
    </w:p>
    <w:p w14:paraId="1393C090" w14:textId="77777777" w:rsidR="00E62B94" w:rsidRPr="007E6C65" w:rsidRDefault="00E62B94" w:rsidP="00E62B94">
      <w:pPr>
        <w:pStyle w:val="Sraopastraipa"/>
        <w:numPr>
          <w:ilvl w:val="0"/>
          <w:numId w:val="3"/>
        </w:numPr>
        <w:jc w:val="center"/>
        <w:rPr>
          <w:rFonts w:ascii="Times New Roman" w:hAnsi="Times New Roman" w:cs="Times New Roman"/>
          <w:b/>
          <w:bCs/>
          <w:lang w:val="lt-LT"/>
        </w:rPr>
      </w:pPr>
    </w:p>
    <w:sectPr w:rsidR="00E62B94" w:rsidRPr="007E6C65" w:rsidSect="00ED1DBA">
      <w:headerReference w:type="even" r:id="rId9"/>
      <w:headerReference w:type="default" r:id="rId10"/>
      <w:footerReference w:type="even" r:id="rId11"/>
      <w:footerReference w:type="default" r:id="rId12"/>
      <w:headerReference w:type="first" r:id="rId13"/>
      <w:footerReference w:type="first" r:id="rId14"/>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5D13" w14:textId="77777777" w:rsidR="00281587" w:rsidRDefault="00281587" w:rsidP="00281587">
      <w:pPr>
        <w:spacing w:after="0" w:line="240" w:lineRule="auto"/>
      </w:pPr>
      <w:r>
        <w:separator/>
      </w:r>
    </w:p>
  </w:endnote>
  <w:endnote w:type="continuationSeparator" w:id="0">
    <w:p w14:paraId="63AC1724" w14:textId="77777777" w:rsidR="00281587" w:rsidRDefault="00281587" w:rsidP="0028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BBC8" w14:textId="77777777" w:rsidR="00281587" w:rsidRDefault="002815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5D59" w14:textId="77777777" w:rsidR="00281587" w:rsidRDefault="002815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3933" w14:textId="77777777" w:rsidR="00281587" w:rsidRDefault="002815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495C" w14:textId="77777777" w:rsidR="00281587" w:rsidRDefault="00281587" w:rsidP="00281587">
      <w:pPr>
        <w:spacing w:after="0" w:line="240" w:lineRule="auto"/>
      </w:pPr>
      <w:r>
        <w:separator/>
      </w:r>
    </w:p>
  </w:footnote>
  <w:footnote w:type="continuationSeparator" w:id="0">
    <w:p w14:paraId="207FDCE0" w14:textId="77777777" w:rsidR="00281587" w:rsidRDefault="00281587" w:rsidP="00281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BD24" w14:textId="77777777" w:rsidR="00281587" w:rsidRDefault="002815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069D" w14:textId="77777777" w:rsidR="00281587" w:rsidRDefault="002815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DEA9" w14:textId="77777777" w:rsidR="00281587" w:rsidRDefault="00281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2543F"/>
    <w:multiLevelType w:val="hybridMultilevel"/>
    <w:tmpl w:val="790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9" w15:restartNumberingAfterBreak="0">
    <w:nsid w:val="68B233A4"/>
    <w:multiLevelType w:val="hybridMultilevel"/>
    <w:tmpl w:val="BC5A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6"/>
  </w:num>
  <w:num w:numId="5">
    <w:abstractNumId w:val="4"/>
  </w:num>
  <w:num w:numId="6">
    <w:abstractNumId w:val="0"/>
  </w:num>
  <w:num w:numId="7">
    <w:abstractNumId w:val="7"/>
  </w:num>
  <w:num w:numId="8">
    <w:abstractNumId w:val="5"/>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7F59"/>
    <w:rsid w:val="00033F0A"/>
    <w:rsid w:val="00041433"/>
    <w:rsid w:val="000472A5"/>
    <w:rsid w:val="00051AE2"/>
    <w:rsid w:val="00083AF2"/>
    <w:rsid w:val="000867CC"/>
    <w:rsid w:val="000A18C5"/>
    <w:rsid w:val="000B3F68"/>
    <w:rsid w:val="000C720D"/>
    <w:rsid w:val="0011796B"/>
    <w:rsid w:val="00130B25"/>
    <w:rsid w:val="001311DC"/>
    <w:rsid w:val="00142686"/>
    <w:rsid w:val="001442A4"/>
    <w:rsid w:val="001646E8"/>
    <w:rsid w:val="00173D85"/>
    <w:rsid w:val="00177589"/>
    <w:rsid w:val="00185AB8"/>
    <w:rsid w:val="00190642"/>
    <w:rsid w:val="00190F10"/>
    <w:rsid w:val="00195C2D"/>
    <w:rsid w:val="001A44AE"/>
    <w:rsid w:val="001B315C"/>
    <w:rsid w:val="001C28CC"/>
    <w:rsid w:val="001D0ABD"/>
    <w:rsid w:val="001D649A"/>
    <w:rsid w:val="001D76AB"/>
    <w:rsid w:val="00214E6B"/>
    <w:rsid w:val="0023768A"/>
    <w:rsid w:val="00245417"/>
    <w:rsid w:val="00252CCE"/>
    <w:rsid w:val="00252D23"/>
    <w:rsid w:val="0025344C"/>
    <w:rsid w:val="00260216"/>
    <w:rsid w:val="00263C49"/>
    <w:rsid w:val="00281587"/>
    <w:rsid w:val="00285146"/>
    <w:rsid w:val="00290435"/>
    <w:rsid w:val="00292147"/>
    <w:rsid w:val="002952F9"/>
    <w:rsid w:val="00296DC8"/>
    <w:rsid w:val="0029713D"/>
    <w:rsid w:val="002A2C6D"/>
    <w:rsid w:val="002B6B3D"/>
    <w:rsid w:val="002C303C"/>
    <w:rsid w:val="002C5559"/>
    <w:rsid w:val="002E4FED"/>
    <w:rsid w:val="002F48CF"/>
    <w:rsid w:val="003109C6"/>
    <w:rsid w:val="00312BD4"/>
    <w:rsid w:val="0032651C"/>
    <w:rsid w:val="00343448"/>
    <w:rsid w:val="00346D66"/>
    <w:rsid w:val="00353B4F"/>
    <w:rsid w:val="00366CAC"/>
    <w:rsid w:val="0037137E"/>
    <w:rsid w:val="00384635"/>
    <w:rsid w:val="0039233B"/>
    <w:rsid w:val="003A619B"/>
    <w:rsid w:val="003C27EE"/>
    <w:rsid w:val="00400708"/>
    <w:rsid w:val="00404D22"/>
    <w:rsid w:val="004139D4"/>
    <w:rsid w:val="00423D3B"/>
    <w:rsid w:val="004251CC"/>
    <w:rsid w:val="00425F47"/>
    <w:rsid w:val="004355EE"/>
    <w:rsid w:val="004417EA"/>
    <w:rsid w:val="00442BD3"/>
    <w:rsid w:val="0044491B"/>
    <w:rsid w:val="00450A15"/>
    <w:rsid w:val="004542F6"/>
    <w:rsid w:val="00454F95"/>
    <w:rsid w:val="00467F9A"/>
    <w:rsid w:val="00480AF2"/>
    <w:rsid w:val="004911C2"/>
    <w:rsid w:val="00492FEB"/>
    <w:rsid w:val="00494D24"/>
    <w:rsid w:val="004A67C9"/>
    <w:rsid w:val="004B0808"/>
    <w:rsid w:val="004B5C31"/>
    <w:rsid w:val="004C256E"/>
    <w:rsid w:val="004C528F"/>
    <w:rsid w:val="004E2A0B"/>
    <w:rsid w:val="004F0082"/>
    <w:rsid w:val="00500C42"/>
    <w:rsid w:val="00502BD9"/>
    <w:rsid w:val="00520170"/>
    <w:rsid w:val="00527868"/>
    <w:rsid w:val="0054366A"/>
    <w:rsid w:val="0055020E"/>
    <w:rsid w:val="00560076"/>
    <w:rsid w:val="00571DDE"/>
    <w:rsid w:val="00586F59"/>
    <w:rsid w:val="00596562"/>
    <w:rsid w:val="00597D93"/>
    <w:rsid w:val="005A4D83"/>
    <w:rsid w:val="005A77E4"/>
    <w:rsid w:val="005B113F"/>
    <w:rsid w:val="005C718B"/>
    <w:rsid w:val="005E1BBA"/>
    <w:rsid w:val="006008CF"/>
    <w:rsid w:val="0060185F"/>
    <w:rsid w:val="0061456A"/>
    <w:rsid w:val="00614E17"/>
    <w:rsid w:val="00615961"/>
    <w:rsid w:val="00622FE1"/>
    <w:rsid w:val="006311A2"/>
    <w:rsid w:val="006329F6"/>
    <w:rsid w:val="0063404B"/>
    <w:rsid w:val="00666DB4"/>
    <w:rsid w:val="00671FD7"/>
    <w:rsid w:val="0067428F"/>
    <w:rsid w:val="00680F51"/>
    <w:rsid w:val="00685316"/>
    <w:rsid w:val="00687C8D"/>
    <w:rsid w:val="006A18FE"/>
    <w:rsid w:val="006A4DD0"/>
    <w:rsid w:val="006B60F9"/>
    <w:rsid w:val="006C23BB"/>
    <w:rsid w:val="006D248B"/>
    <w:rsid w:val="006D49A2"/>
    <w:rsid w:val="006E606E"/>
    <w:rsid w:val="006F0D78"/>
    <w:rsid w:val="006F6E68"/>
    <w:rsid w:val="00730B60"/>
    <w:rsid w:val="00731587"/>
    <w:rsid w:val="007351A1"/>
    <w:rsid w:val="00737FB7"/>
    <w:rsid w:val="00740944"/>
    <w:rsid w:val="007415CE"/>
    <w:rsid w:val="007429AE"/>
    <w:rsid w:val="007521CE"/>
    <w:rsid w:val="00753DE6"/>
    <w:rsid w:val="0075523C"/>
    <w:rsid w:val="00760A76"/>
    <w:rsid w:val="007675C8"/>
    <w:rsid w:val="0077410A"/>
    <w:rsid w:val="00780B10"/>
    <w:rsid w:val="00781F68"/>
    <w:rsid w:val="007A4618"/>
    <w:rsid w:val="007A6E7D"/>
    <w:rsid w:val="007B56B2"/>
    <w:rsid w:val="007C2BCA"/>
    <w:rsid w:val="007C438E"/>
    <w:rsid w:val="007D5600"/>
    <w:rsid w:val="007D5E78"/>
    <w:rsid w:val="007E6C65"/>
    <w:rsid w:val="007F17D4"/>
    <w:rsid w:val="008038F7"/>
    <w:rsid w:val="00803BF8"/>
    <w:rsid w:val="00825DE8"/>
    <w:rsid w:val="00836197"/>
    <w:rsid w:val="00844E6C"/>
    <w:rsid w:val="008523DA"/>
    <w:rsid w:val="00870B62"/>
    <w:rsid w:val="00873B86"/>
    <w:rsid w:val="0087740D"/>
    <w:rsid w:val="00881517"/>
    <w:rsid w:val="008867FB"/>
    <w:rsid w:val="0089586E"/>
    <w:rsid w:val="008A000D"/>
    <w:rsid w:val="008A2C87"/>
    <w:rsid w:val="008C6FE7"/>
    <w:rsid w:val="008D4A2F"/>
    <w:rsid w:val="008F390F"/>
    <w:rsid w:val="009010B9"/>
    <w:rsid w:val="00924DC2"/>
    <w:rsid w:val="00935201"/>
    <w:rsid w:val="00935900"/>
    <w:rsid w:val="009378D2"/>
    <w:rsid w:val="00946924"/>
    <w:rsid w:val="00952821"/>
    <w:rsid w:val="00963B75"/>
    <w:rsid w:val="009709A3"/>
    <w:rsid w:val="00971197"/>
    <w:rsid w:val="00973F9B"/>
    <w:rsid w:val="00984C32"/>
    <w:rsid w:val="009B2C52"/>
    <w:rsid w:val="009C2BC1"/>
    <w:rsid w:val="009C5D92"/>
    <w:rsid w:val="009D06CE"/>
    <w:rsid w:val="009D5650"/>
    <w:rsid w:val="009D7F48"/>
    <w:rsid w:val="009E36F9"/>
    <w:rsid w:val="009E430E"/>
    <w:rsid w:val="009E5607"/>
    <w:rsid w:val="00A011D4"/>
    <w:rsid w:val="00A53298"/>
    <w:rsid w:val="00A54576"/>
    <w:rsid w:val="00A62F8A"/>
    <w:rsid w:val="00A777A7"/>
    <w:rsid w:val="00A81C37"/>
    <w:rsid w:val="00A93009"/>
    <w:rsid w:val="00AA5E80"/>
    <w:rsid w:val="00AC26C0"/>
    <w:rsid w:val="00AC5119"/>
    <w:rsid w:val="00AD3A1D"/>
    <w:rsid w:val="00AE5201"/>
    <w:rsid w:val="00AE7A8F"/>
    <w:rsid w:val="00AF0176"/>
    <w:rsid w:val="00AF5C33"/>
    <w:rsid w:val="00B16BB9"/>
    <w:rsid w:val="00B309E0"/>
    <w:rsid w:val="00B334DC"/>
    <w:rsid w:val="00B434F6"/>
    <w:rsid w:val="00B43EE1"/>
    <w:rsid w:val="00B5125A"/>
    <w:rsid w:val="00B51FA3"/>
    <w:rsid w:val="00B53628"/>
    <w:rsid w:val="00B63E17"/>
    <w:rsid w:val="00B94BD2"/>
    <w:rsid w:val="00BA4BBD"/>
    <w:rsid w:val="00BA636F"/>
    <w:rsid w:val="00BA7C36"/>
    <w:rsid w:val="00BD3899"/>
    <w:rsid w:val="00BD4EC8"/>
    <w:rsid w:val="00BE7C03"/>
    <w:rsid w:val="00BF66CC"/>
    <w:rsid w:val="00C074AA"/>
    <w:rsid w:val="00C30CB2"/>
    <w:rsid w:val="00C31831"/>
    <w:rsid w:val="00C45CF0"/>
    <w:rsid w:val="00C46A74"/>
    <w:rsid w:val="00C52ED5"/>
    <w:rsid w:val="00C54AA0"/>
    <w:rsid w:val="00C73523"/>
    <w:rsid w:val="00C82A14"/>
    <w:rsid w:val="00C90EED"/>
    <w:rsid w:val="00C97B2A"/>
    <w:rsid w:val="00CA171D"/>
    <w:rsid w:val="00CA382D"/>
    <w:rsid w:val="00CB23F1"/>
    <w:rsid w:val="00CB5038"/>
    <w:rsid w:val="00CC3A83"/>
    <w:rsid w:val="00CC7A5E"/>
    <w:rsid w:val="00CD1C8F"/>
    <w:rsid w:val="00CD331E"/>
    <w:rsid w:val="00CD3C5E"/>
    <w:rsid w:val="00CE0385"/>
    <w:rsid w:val="00D06DA4"/>
    <w:rsid w:val="00D26B9F"/>
    <w:rsid w:val="00D26EB7"/>
    <w:rsid w:val="00D5130B"/>
    <w:rsid w:val="00D84D4B"/>
    <w:rsid w:val="00DA12B0"/>
    <w:rsid w:val="00DA4451"/>
    <w:rsid w:val="00DA448E"/>
    <w:rsid w:val="00DB3D1D"/>
    <w:rsid w:val="00DB79F6"/>
    <w:rsid w:val="00DD292A"/>
    <w:rsid w:val="00DD2CCA"/>
    <w:rsid w:val="00DE5ACE"/>
    <w:rsid w:val="00E01676"/>
    <w:rsid w:val="00E07F16"/>
    <w:rsid w:val="00E177CD"/>
    <w:rsid w:val="00E23C67"/>
    <w:rsid w:val="00E2687E"/>
    <w:rsid w:val="00E4203B"/>
    <w:rsid w:val="00E44AE7"/>
    <w:rsid w:val="00E53243"/>
    <w:rsid w:val="00E54A8C"/>
    <w:rsid w:val="00E55058"/>
    <w:rsid w:val="00E62B94"/>
    <w:rsid w:val="00E86FC5"/>
    <w:rsid w:val="00EA0C23"/>
    <w:rsid w:val="00EA2581"/>
    <w:rsid w:val="00EA3D77"/>
    <w:rsid w:val="00EB3605"/>
    <w:rsid w:val="00EB5168"/>
    <w:rsid w:val="00EC04B9"/>
    <w:rsid w:val="00EC63AF"/>
    <w:rsid w:val="00ED0709"/>
    <w:rsid w:val="00ED1DBA"/>
    <w:rsid w:val="00ED58C5"/>
    <w:rsid w:val="00EE1039"/>
    <w:rsid w:val="00EE1F31"/>
    <w:rsid w:val="00EE7F88"/>
    <w:rsid w:val="00F04962"/>
    <w:rsid w:val="00F054EA"/>
    <w:rsid w:val="00F11A04"/>
    <w:rsid w:val="00F45CE1"/>
    <w:rsid w:val="00F47CD2"/>
    <w:rsid w:val="00F730A0"/>
    <w:rsid w:val="00F76463"/>
    <w:rsid w:val="00F82CC6"/>
    <w:rsid w:val="00F85A1E"/>
    <w:rsid w:val="00F85C36"/>
    <w:rsid w:val="00F96114"/>
    <w:rsid w:val="00FA3289"/>
    <w:rsid w:val="00FA559D"/>
    <w:rsid w:val="00FB32C1"/>
    <w:rsid w:val="00FC0F6E"/>
    <w:rsid w:val="00FD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C383D34F-441B-45CD-9CE9-B636663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EED"/>
    <w:pPr>
      <w:ind w:left="720"/>
      <w:contextualSpacing/>
    </w:pPr>
  </w:style>
  <w:style w:type="paragraph" w:styleId="Debesliotekstas">
    <w:name w:val="Balloon Text"/>
    <w:basedOn w:val="prastasis"/>
    <w:link w:val="DebesliotekstasDiagrama"/>
    <w:uiPriority w:val="99"/>
    <w:semiHidden/>
    <w:unhideWhenUsed/>
    <w:rsid w:val="0055020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020E"/>
    <w:rPr>
      <w:rFonts w:ascii="Tahoma" w:hAnsi="Tahoma" w:cs="Tahoma"/>
      <w:sz w:val="16"/>
      <w:szCs w:val="16"/>
    </w:rPr>
  </w:style>
  <w:style w:type="table" w:styleId="Lentelstinklelis">
    <w:name w:val="Table Grid"/>
    <w:basedOn w:val="prastojilente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25F47"/>
    <w:rPr>
      <w:sz w:val="16"/>
      <w:szCs w:val="16"/>
    </w:rPr>
  </w:style>
  <w:style w:type="paragraph" w:styleId="Komentarotekstas">
    <w:name w:val="annotation text"/>
    <w:basedOn w:val="prastasis"/>
    <w:link w:val="KomentarotekstasDiagrama"/>
    <w:uiPriority w:val="99"/>
    <w:semiHidden/>
    <w:unhideWhenUsed/>
    <w:rsid w:val="00425F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5F47"/>
    <w:rPr>
      <w:sz w:val="20"/>
      <w:szCs w:val="20"/>
    </w:rPr>
  </w:style>
  <w:style w:type="paragraph" w:styleId="Komentarotema">
    <w:name w:val="annotation subject"/>
    <w:basedOn w:val="Komentarotekstas"/>
    <w:next w:val="Komentarotekstas"/>
    <w:link w:val="KomentarotemaDiagrama"/>
    <w:uiPriority w:val="99"/>
    <w:semiHidden/>
    <w:unhideWhenUsed/>
    <w:rsid w:val="00425F47"/>
    <w:rPr>
      <w:b/>
      <w:bCs/>
    </w:rPr>
  </w:style>
  <w:style w:type="character" w:customStyle="1" w:styleId="KomentarotemaDiagrama">
    <w:name w:val="Komentaro tema Diagrama"/>
    <w:basedOn w:val="KomentarotekstasDiagrama"/>
    <w:link w:val="Komentarotema"/>
    <w:uiPriority w:val="99"/>
    <w:semiHidden/>
    <w:rsid w:val="00425F47"/>
    <w:rPr>
      <w:b/>
      <w:bCs/>
      <w:sz w:val="20"/>
      <w:szCs w:val="20"/>
    </w:rPr>
  </w:style>
  <w:style w:type="paragraph" w:styleId="Pataisymai">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basedOn w:val="prastasis"/>
    <w:link w:val="AntratsDiagrama"/>
    <w:uiPriority w:val="99"/>
    <w:unhideWhenUsed/>
    <w:rsid w:val="002815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81587"/>
  </w:style>
  <w:style w:type="paragraph" w:styleId="Porat">
    <w:name w:val="footer"/>
    <w:basedOn w:val="prastasis"/>
    <w:link w:val="PoratDiagrama"/>
    <w:uiPriority w:val="99"/>
    <w:unhideWhenUsed/>
    <w:rsid w:val="002815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8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9499">
      <w:bodyDiv w:val="1"/>
      <w:marLeft w:val="0"/>
      <w:marRight w:val="0"/>
      <w:marTop w:val="0"/>
      <w:marBottom w:val="0"/>
      <w:divBdr>
        <w:top w:val="none" w:sz="0" w:space="0" w:color="auto"/>
        <w:left w:val="none" w:sz="0" w:space="0" w:color="auto"/>
        <w:bottom w:val="none" w:sz="0" w:space="0" w:color="auto"/>
        <w:right w:val="none" w:sz="0" w:space="0" w:color="auto"/>
      </w:divBdr>
    </w:div>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769394184">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C8E6-15C5-4121-A27B-EBA95B78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5952</Words>
  <Characters>3394</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Mėžinys</dc:creator>
  <cp:lastModifiedBy>Linas Ališauskas</cp:lastModifiedBy>
  <cp:revision>18</cp:revision>
  <cp:lastPrinted>2014-12-08T08:41:00Z</cp:lastPrinted>
  <dcterms:created xsi:type="dcterms:W3CDTF">2025-02-06T09:28:00Z</dcterms:created>
  <dcterms:modified xsi:type="dcterms:W3CDTF">2025-10-23T12:51:00Z</dcterms:modified>
</cp:coreProperties>
</file>