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17263A" w:rsidRDefault="00DD6139" w:rsidP="00DD6139">
      <w:pPr>
        <w:jc w:val="both"/>
        <w:rPr>
          <w:rFonts w:eastAsia="Calibri"/>
          <w:sz w:val="20"/>
          <w:szCs w:val="20"/>
        </w:rPr>
      </w:pPr>
      <w:r w:rsidRPr="0017263A">
        <w:rPr>
          <w:rFonts w:eastAsia="Calibri"/>
          <w:sz w:val="20"/>
          <w:szCs w:val="20"/>
        </w:rPr>
        <w:t>Suinteresuotiems tiekėjams</w:t>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t>202</w:t>
      </w:r>
      <w:r w:rsidR="00FC240A" w:rsidRPr="0017263A">
        <w:rPr>
          <w:rFonts w:eastAsia="Calibri"/>
          <w:sz w:val="20"/>
          <w:szCs w:val="20"/>
        </w:rPr>
        <w:t>5-</w:t>
      </w:r>
      <w:r w:rsidR="00C713E6">
        <w:rPr>
          <w:rFonts w:eastAsia="Calibri"/>
          <w:sz w:val="20"/>
          <w:szCs w:val="20"/>
        </w:rPr>
        <w:t>10-27</w:t>
      </w:r>
      <w:r w:rsidR="00DE1ADD" w:rsidRPr="0017263A">
        <w:rPr>
          <w:rFonts w:eastAsia="Calibri"/>
          <w:sz w:val="20"/>
          <w:szCs w:val="20"/>
        </w:rPr>
        <w:t xml:space="preserve"> Nr. VP1-</w:t>
      </w:r>
      <w:r w:rsidR="00C713E6">
        <w:rPr>
          <w:rFonts w:eastAsia="Calibri"/>
          <w:sz w:val="20"/>
          <w:szCs w:val="20"/>
        </w:rPr>
        <w:t>330</w:t>
      </w:r>
    </w:p>
    <w:p w:rsidR="00DD6139" w:rsidRPr="0017263A" w:rsidRDefault="00DD6139" w:rsidP="00DD6139">
      <w:pPr>
        <w:jc w:val="both"/>
        <w:rPr>
          <w:rFonts w:eastAsia="Calibri"/>
          <w:sz w:val="20"/>
          <w:szCs w:val="20"/>
        </w:rPr>
      </w:pPr>
    </w:p>
    <w:p w:rsidR="00DD6139" w:rsidRPr="0017263A" w:rsidRDefault="00DD6139" w:rsidP="00DD6139">
      <w:pPr>
        <w:jc w:val="both"/>
        <w:rPr>
          <w:rFonts w:eastAsia="Calibri"/>
          <w:sz w:val="20"/>
          <w:szCs w:val="20"/>
        </w:rPr>
      </w:pPr>
    </w:p>
    <w:p w:rsidR="00DD6139" w:rsidRPr="0017263A" w:rsidRDefault="00DD6139" w:rsidP="00DD6139">
      <w:pPr>
        <w:jc w:val="center"/>
        <w:rPr>
          <w:rFonts w:eastAsia="Calibri"/>
          <w:b/>
          <w:bCs/>
          <w:sz w:val="20"/>
          <w:szCs w:val="20"/>
        </w:rPr>
      </w:pPr>
      <w:r w:rsidRPr="0017263A">
        <w:rPr>
          <w:rFonts w:eastAsia="Calibri"/>
          <w:b/>
          <w:bCs/>
          <w:sz w:val="20"/>
          <w:szCs w:val="20"/>
        </w:rPr>
        <w:t>KVIETIMAS DALYVAUTI RINKOS KONSULTACIJOJE</w:t>
      </w:r>
      <w:r w:rsidR="009F554E" w:rsidRPr="0017263A">
        <w:rPr>
          <w:rFonts w:eastAsia="Calibri"/>
          <w:b/>
          <w:bCs/>
          <w:sz w:val="20"/>
          <w:szCs w:val="20"/>
        </w:rPr>
        <w:t xml:space="preserve"> </w:t>
      </w:r>
      <w:r w:rsidR="00DE1ADD" w:rsidRPr="0017263A">
        <w:rPr>
          <w:b/>
          <w:sz w:val="20"/>
          <w:szCs w:val="20"/>
        </w:rPr>
        <w:t>„</w:t>
      </w:r>
      <w:r w:rsidR="00C713E6" w:rsidRPr="00C713E6">
        <w:rPr>
          <w:b/>
          <w:sz w:val="20"/>
          <w:szCs w:val="20"/>
        </w:rPr>
        <w:t>MEDICININĖS PREKĖS (KVĖPAVIMO SISTEMOS, FILTRAI, VAMZDELIAI IR T.T.)</w:t>
      </w:r>
      <w:r w:rsidR="00DE1ADD" w:rsidRPr="0017263A">
        <w:rPr>
          <w:b/>
          <w:sz w:val="20"/>
          <w:szCs w:val="20"/>
        </w:rPr>
        <w:t>”</w:t>
      </w:r>
      <w:r w:rsidR="00693E5B" w:rsidRPr="0017263A">
        <w:rPr>
          <w:b/>
          <w:sz w:val="20"/>
          <w:szCs w:val="20"/>
        </w:rPr>
        <w:t xml:space="preserve"> </w:t>
      </w:r>
      <w:r w:rsidR="00A47AD6" w:rsidRPr="0017263A">
        <w:rPr>
          <w:b/>
          <w:sz w:val="20"/>
          <w:szCs w:val="20"/>
        </w:rPr>
        <w:t xml:space="preserve">(NUMERIS CVP IS </w:t>
      </w:r>
      <w:r w:rsidR="00C713E6">
        <w:rPr>
          <w:b/>
          <w:sz w:val="20"/>
          <w:szCs w:val="20"/>
        </w:rPr>
        <w:t>5151928</w:t>
      </w:r>
      <w:r w:rsidR="009F554E" w:rsidRPr="0017263A">
        <w:rPr>
          <w:b/>
          <w:sz w:val="20"/>
          <w:szCs w:val="20"/>
        </w:rPr>
        <w:t>)</w:t>
      </w:r>
    </w:p>
    <w:p w:rsidR="00DD6139" w:rsidRPr="0017263A" w:rsidRDefault="00DD6139" w:rsidP="00DD6139">
      <w:pPr>
        <w:jc w:val="center"/>
        <w:rPr>
          <w:rFonts w:eastAsia="Calibri"/>
          <w:b/>
          <w:bCs/>
          <w:sz w:val="20"/>
          <w:szCs w:val="20"/>
        </w:rPr>
      </w:pPr>
    </w:p>
    <w:p w:rsidR="003D2908" w:rsidRPr="0017263A" w:rsidRDefault="003D2908" w:rsidP="00DD6139">
      <w:pPr>
        <w:jc w:val="center"/>
        <w:rPr>
          <w:rFonts w:eastAsia="Calibri"/>
          <w:b/>
          <w:bCs/>
          <w:sz w:val="20"/>
          <w:szCs w:val="20"/>
        </w:rPr>
      </w:pPr>
    </w:p>
    <w:p w:rsidR="00DD6139" w:rsidRPr="0017263A" w:rsidRDefault="00DD6139" w:rsidP="00DD6139">
      <w:pPr>
        <w:keepNext/>
        <w:widowControl w:val="0"/>
        <w:ind w:firstLine="567"/>
        <w:jc w:val="both"/>
        <w:outlineLvl w:val="1"/>
        <w:rPr>
          <w:rFonts w:eastAsia="Calibri"/>
          <w:sz w:val="20"/>
          <w:szCs w:val="20"/>
        </w:rPr>
      </w:pPr>
      <w:r w:rsidRPr="0017263A">
        <w:rPr>
          <w:sz w:val="20"/>
          <w:szCs w:val="20"/>
        </w:rPr>
        <w:t xml:space="preserve">Viešoji įstaiga </w:t>
      </w:r>
      <w:r w:rsidR="003D2908" w:rsidRPr="0017263A">
        <w:rPr>
          <w:sz w:val="20"/>
          <w:szCs w:val="20"/>
        </w:rPr>
        <w:t xml:space="preserve">Jonavos </w:t>
      </w:r>
      <w:r w:rsidRPr="0017263A">
        <w:rPr>
          <w:sz w:val="20"/>
          <w:szCs w:val="20"/>
        </w:rPr>
        <w:t xml:space="preserve">ligoninė (toliau – Perkančioji organizacija) vadovaudamasi Lietuvos Respublikos viešųjų pirkimų įstatymo (toliau – VPĮ) 27 str. ir siekdama pasirengti pirkimui </w:t>
      </w:r>
      <w:r w:rsidR="008A3F22" w:rsidRPr="0017263A">
        <w:rPr>
          <w:sz w:val="20"/>
          <w:szCs w:val="20"/>
        </w:rPr>
        <w:t>„</w:t>
      </w:r>
      <w:r w:rsidR="00C713E6" w:rsidRPr="00C713E6">
        <w:rPr>
          <w:b/>
          <w:sz w:val="20"/>
          <w:szCs w:val="20"/>
        </w:rPr>
        <w:t>MEDICININĖS PREKĖS (KVĖPAVIMO SISTEMOS, FILTRAI, VAMZDELIAI IR T.T.)</w:t>
      </w:r>
      <w:r w:rsidR="003D2908" w:rsidRPr="0017263A">
        <w:rPr>
          <w:sz w:val="20"/>
          <w:szCs w:val="20"/>
        </w:rPr>
        <w:t>”</w:t>
      </w:r>
      <w:r w:rsidRPr="0017263A">
        <w:rPr>
          <w:sz w:val="20"/>
          <w:szCs w:val="20"/>
        </w:rPr>
        <w:t xml:space="preserve"> </w:t>
      </w:r>
      <w:r w:rsidRPr="0017263A">
        <w:rPr>
          <w:rFonts w:eastAsia="Calibri"/>
          <w:sz w:val="20"/>
          <w:szCs w:val="20"/>
        </w:rPr>
        <w:t>(</w:t>
      </w:r>
      <w:proofErr w:type="gramStart"/>
      <w:r w:rsidRPr="0017263A">
        <w:rPr>
          <w:rFonts w:eastAsia="Calibri"/>
          <w:sz w:val="20"/>
          <w:szCs w:val="20"/>
        </w:rPr>
        <w:t>toliau</w:t>
      </w:r>
      <w:proofErr w:type="gramEnd"/>
      <w:r w:rsidRPr="0017263A">
        <w:rPr>
          <w:rFonts w:eastAsia="Calibri"/>
          <w:sz w:val="20"/>
          <w:szCs w:val="20"/>
        </w:rPr>
        <w:t xml:space="preserve"> – </w:t>
      </w:r>
      <w:r w:rsidRPr="0017263A">
        <w:rPr>
          <w:rFonts w:eastAsia="Calibri"/>
          <w:b/>
          <w:bCs/>
          <w:sz w:val="20"/>
          <w:szCs w:val="20"/>
        </w:rPr>
        <w:t>Pirkimas</w:t>
      </w:r>
      <w:r w:rsidRPr="0017263A">
        <w:rPr>
          <w:rFonts w:eastAsia="Calibri"/>
          <w:sz w:val="20"/>
          <w:szCs w:val="20"/>
        </w:rPr>
        <w:t>) prašo nepriklausomų ekspertų, institucijų arba rinkos dalyvių suteikti konsultaciją.</w:t>
      </w:r>
    </w:p>
    <w:p w:rsidR="00DD6139" w:rsidRPr="0017263A" w:rsidRDefault="00DD6139" w:rsidP="00DD6139">
      <w:pPr>
        <w:keepNext/>
        <w:widowControl w:val="0"/>
        <w:ind w:firstLine="567"/>
        <w:jc w:val="both"/>
        <w:outlineLvl w:val="1"/>
        <w:rPr>
          <w:rFonts w:eastAsia="Calibri"/>
          <w:sz w:val="20"/>
          <w:szCs w:val="20"/>
        </w:rPr>
      </w:pPr>
      <w:r w:rsidRPr="0017263A">
        <w:rPr>
          <w:b/>
          <w:sz w:val="20"/>
          <w:szCs w:val="20"/>
        </w:rPr>
        <w:t xml:space="preserve">Konsultacijos tikslas: </w:t>
      </w:r>
      <w:r w:rsidRPr="0017263A">
        <w:rPr>
          <w:sz w:val="20"/>
          <w:szCs w:val="20"/>
          <w:lang w:eastAsia="ar-SA"/>
        </w:rPr>
        <w:t xml:space="preserve">pristatyti būsimą pirkimą galimiems teikėjams, </w:t>
      </w:r>
      <w:r w:rsidRPr="0017263A">
        <w:rPr>
          <w:sz w:val="20"/>
          <w:szCs w:val="20"/>
        </w:rPr>
        <w:t xml:space="preserve">tinkamai </w:t>
      </w:r>
      <w:r w:rsidRPr="0017263A">
        <w:rPr>
          <w:sz w:val="20"/>
          <w:szCs w:val="20"/>
          <w:lang w:eastAsia="ar-SA"/>
        </w:rPr>
        <w:t>pasiren</w:t>
      </w:r>
      <w:r w:rsidR="008A3F22" w:rsidRPr="0017263A">
        <w:rPr>
          <w:sz w:val="20"/>
          <w:szCs w:val="20"/>
          <w:lang w:eastAsia="ar-SA"/>
        </w:rPr>
        <w:t xml:space="preserve">gti viešojo pirkimo procedūroms bei </w:t>
      </w:r>
      <w:r w:rsidR="004F7A62" w:rsidRPr="0017263A">
        <w:rPr>
          <w:sz w:val="20"/>
          <w:szCs w:val="20"/>
        </w:rPr>
        <w:t xml:space="preserve">išsiaiškinti rinkos </w:t>
      </w:r>
      <w:r w:rsidR="004F7A62" w:rsidRPr="0017263A">
        <w:rPr>
          <w:rFonts w:eastAsia="Trebuchet MS"/>
          <w:sz w:val="20"/>
          <w:szCs w:val="20"/>
        </w:rPr>
        <w:t xml:space="preserve">galimybes </w:t>
      </w:r>
      <w:r w:rsidR="004F7A62" w:rsidRPr="0017263A">
        <w:rPr>
          <w:sz w:val="20"/>
          <w:szCs w:val="20"/>
        </w:rPr>
        <w:t>pasiūlyti</w:t>
      </w:r>
      <w:r w:rsidR="004F7A62" w:rsidRPr="0017263A">
        <w:rPr>
          <w:rFonts w:eastAsia="Trebuchet MS"/>
          <w:sz w:val="20"/>
          <w:szCs w:val="20"/>
        </w:rPr>
        <w:t xml:space="preserve"> priemones, </w:t>
      </w:r>
      <w:r w:rsidR="004F7A62" w:rsidRPr="0017263A">
        <w:rPr>
          <w:sz w:val="20"/>
          <w:szCs w:val="20"/>
        </w:rPr>
        <w:t>atitinkančias reikalavimus</w:t>
      </w:r>
      <w:r w:rsidR="004F7A62" w:rsidRPr="0017263A">
        <w:rPr>
          <w:rFonts w:eastAsia="Trebuchet MS"/>
          <w:sz w:val="20"/>
          <w:szCs w:val="20"/>
        </w:rPr>
        <w:t xml:space="preserve">, keliamus </w:t>
      </w:r>
      <w:r w:rsidR="004F7A62" w:rsidRPr="0017263A">
        <w:rPr>
          <w:sz w:val="20"/>
          <w:szCs w:val="20"/>
        </w:rPr>
        <w:t>žaliajam</w:t>
      </w:r>
      <w:r w:rsidR="004F7A62" w:rsidRPr="0017263A">
        <w:rPr>
          <w:rFonts w:eastAsia="Trebuchet MS"/>
          <w:sz w:val="20"/>
          <w:szCs w:val="20"/>
        </w:rPr>
        <w:t xml:space="preserve"> </w:t>
      </w:r>
      <w:r w:rsidR="004F7A62" w:rsidRPr="0017263A">
        <w:rPr>
          <w:sz w:val="20"/>
          <w:szCs w:val="20"/>
        </w:rPr>
        <w:t>viešajam</w:t>
      </w:r>
      <w:r w:rsidR="004F7A62" w:rsidRPr="0017263A">
        <w:rPr>
          <w:rFonts w:eastAsia="Trebuchet MS"/>
          <w:sz w:val="20"/>
          <w:szCs w:val="20"/>
        </w:rPr>
        <w:t xml:space="preserve"> pirkimui bei </w:t>
      </w:r>
      <w:r w:rsidR="004F7A62" w:rsidRPr="0017263A">
        <w:rPr>
          <w:sz w:val="20"/>
          <w:szCs w:val="20"/>
        </w:rPr>
        <w:t>techninės specifikacijos pasirinkimus, siekiant patikslinti ir parengti techninę specifikaciją</w:t>
      </w:r>
      <w:r w:rsidR="008A3F22" w:rsidRPr="0017263A">
        <w:rPr>
          <w:sz w:val="20"/>
          <w:szCs w:val="20"/>
        </w:rPr>
        <w:t>.</w:t>
      </w:r>
    </w:p>
    <w:p w:rsidR="00DD6139" w:rsidRPr="0017263A" w:rsidRDefault="00DD6139" w:rsidP="00DD6139">
      <w:pPr>
        <w:ind w:firstLine="567"/>
        <w:jc w:val="both"/>
        <w:rPr>
          <w:bCs/>
          <w:kern w:val="24"/>
          <w:sz w:val="20"/>
          <w:szCs w:val="20"/>
          <w:lang w:eastAsia="lt-LT"/>
        </w:rPr>
      </w:pPr>
      <w:r w:rsidRPr="0017263A">
        <w:rPr>
          <w:rFonts w:eastAsia="Calibri"/>
          <w:b/>
          <w:bCs/>
          <w:sz w:val="20"/>
          <w:szCs w:val="20"/>
        </w:rPr>
        <w:t>Konsultacijos būdas</w:t>
      </w:r>
      <w:r w:rsidRPr="0017263A">
        <w:rPr>
          <w:rFonts w:eastAsia="Calibri"/>
          <w:sz w:val="20"/>
          <w:szCs w:val="20"/>
        </w:rPr>
        <w:t xml:space="preserve">: rinkos konsultacija vykdoma Centrinės viešųjų pirkimų informacinės sistemos (toliau </w:t>
      </w:r>
      <w:r w:rsidRPr="0017263A">
        <w:rPr>
          <w:bCs/>
          <w:kern w:val="24"/>
          <w:sz w:val="20"/>
          <w:szCs w:val="20"/>
          <w:lang w:eastAsia="lt-LT"/>
        </w:rPr>
        <w:t xml:space="preserve">– </w:t>
      </w:r>
      <w:r w:rsidRPr="0017263A">
        <w:rPr>
          <w:b/>
          <w:kern w:val="24"/>
          <w:sz w:val="20"/>
          <w:szCs w:val="20"/>
          <w:lang w:eastAsia="lt-LT"/>
        </w:rPr>
        <w:t>CVP IS</w:t>
      </w:r>
      <w:r w:rsidRPr="0017263A">
        <w:rPr>
          <w:bCs/>
          <w:kern w:val="24"/>
          <w:sz w:val="20"/>
          <w:szCs w:val="20"/>
          <w:lang w:eastAsia="lt-LT"/>
        </w:rPr>
        <w:t xml:space="preserve">) priemonėmis. </w:t>
      </w:r>
    </w:p>
    <w:p w:rsidR="00DD6139" w:rsidRPr="0017263A" w:rsidRDefault="00DD6139" w:rsidP="00DD6139">
      <w:pPr>
        <w:ind w:firstLine="567"/>
        <w:jc w:val="both"/>
        <w:rPr>
          <w:rFonts w:eastAsia="Calibri"/>
          <w:sz w:val="20"/>
          <w:szCs w:val="20"/>
        </w:rPr>
      </w:pPr>
      <w:r w:rsidRPr="0017263A">
        <w:rPr>
          <w:rFonts w:eastAsia="Calibri"/>
          <w:sz w:val="20"/>
          <w:szCs w:val="20"/>
        </w:rPr>
        <w:t xml:space="preserve">Kviečiame rinkos dalyvius susipažinti su skelbiamu techninės specifikacijos projektu ir CVP IS priemonėmis </w:t>
      </w:r>
      <w:r w:rsidRPr="0017263A">
        <w:rPr>
          <w:rFonts w:eastAsia="Calibri"/>
          <w:b/>
          <w:bCs/>
          <w:sz w:val="20"/>
          <w:szCs w:val="20"/>
        </w:rPr>
        <w:t>iki CVP</w:t>
      </w:r>
      <w:r w:rsidR="00F11E10" w:rsidRPr="0017263A">
        <w:rPr>
          <w:rFonts w:eastAsia="Calibri"/>
          <w:b/>
          <w:bCs/>
          <w:sz w:val="20"/>
          <w:szCs w:val="20"/>
        </w:rPr>
        <w:t xml:space="preserve"> </w:t>
      </w:r>
      <w:r w:rsidRPr="0017263A">
        <w:rPr>
          <w:rFonts w:eastAsia="Calibri"/>
          <w:b/>
          <w:bCs/>
          <w:sz w:val="20"/>
          <w:szCs w:val="20"/>
        </w:rPr>
        <w:t>IS skelbime nurodyto termino</w:t>
      </w:r>
      <w:r w:rsidRPr="0017263A">
        <w:rPr>
          <w:rFonts w:eastAsia="Calibri"/>
          <w:sz w:val="20"/>
          <w:szCs w:val="20"/>
        </w:rPr>
        <w:t xml:space="preserve"> </w:t>
      </w:r>
      <w:r w:rsidR="00F11E10" w:rsidRPr="0017263A">
        <w:rPr>
          <w:rFonts w:eastAsia="Calibri"/>
          <w:b/>
          <w:sz w:val="20"/>
          <w:szCs w:val="20"/>
        </w:rPr>
        <w:t>(202</w:t>
      </w:r>
      <w:r w:rsidR="00FC240A" w:rsidRPr="0017263A">
        <w:rPr>
          <w:rFonts w:eastAsia="Calibri"/>
          <w:b/>
          <w:sz w:val="20"/>
          <w:szCs w:val="20"/>
        </w:rPr>
        <w:t>5-</w:t>
      </w:r>
      <w:r w:rsidR="00C713E6">
        <w:rPr>
          <w:rFonts w:eastAsia="Calibri"/>
          <w:b/>
          <w:sz w:val="20"/>
          <w:szCs w:val="20"/>
        </w:rPr>
        <w:t>10-</w:t>
      </w:r>
      <w:proofErr w:type="gramStart"/>
      <w:r w:rsidR="00C713E6">
        <w:rPr>
          <w:rFonts w:eastAsia="Calibri"/>
          <w:b/>
          <w:sz w:val="20"/>
          <w:szCs w:val="20"/>
        </w:rPr>
        <w:t>30</w:t>
      </w:r>
      <w:r w:rsidR="00DE1ADD" w:rsidRPr="0017263A">
        <w:rPr>
          <w:rFonts w:eastAsia="Calibri"/>
          <w:b/>
          <w:sz w:val="20"/>
          <w:szCs w:val="20"/>
        </w:rPr>
        <w:t xml:space="preserve">  </w:t>
      </w:r>
      <w:r w:rsidR="00FC240A" w:rsidRPr="0017263A">
        <w:rPr>
          <w:rFonts w:eastAsia="Calibri"/>
          <w:b/>
          <w:sz w:val="20"/>
          <w:szCs w:val="20"/>
        </w:rPr>
        <w:t>1</w:t>
      </w:r>
      <w:r w:rsidR="00C713E6">
        <w:rPr>
          <w:rFonts w:eastAsia="Calibri"/>
          <w:b/>
          <w:sz w:val="20"/>
          <w:szCs w:val="20"/>
        </w:rPr>
        <w:t>5</w:t>
      </w:r>
      <w:r w:rsidR="00F11E10" w:rsidRPr="0017263A">
        <w:rPr>
          <w:rFonts w:eastAsia="Calibri"/>
          <w:b/>
          <w:sz w:val="20"/>
          <w:szCs w:val="20"/>
        </w:rPr>
        <w:t>:00</w:t>
      </w:r>
      <w:proofErr w:type="gramEnd"/>
      <w:r w:rsidR="00F11E10" w:rsidRPr="0017263A">
        <w:rPr>
          <w:rFonts w:eastAsia="Calibri"/>
          <w:b/>
          <w:sz w:val="20"/>
          <w:szCs w:val="20"/>
        </w:rPr>
        <w:t xml:space="preserve"> val.)</w:t>
      </w:r>
      <w:r w:rsidR="00F11E10" w:rsidRPr="0017263A">
        <w:rPr>
          <w:rFonts w:eastAsia="Calibri"/>
          <w:sz w:val="20"/>
          <w:szCs w:val="20"/>
        </w:rPr>
        <w:t xml:space="preserve"> </w:t>
      </w:r>
      <w:r w:rsidRPr="0017263A">
        <w:rPr>
          <w:rFonts w:eastAsia="Calibri"/>
          <w:sz w:val="20"/>
          <w:szCs w:val="20"/>
        </w:rPr>
        <w:t xml:space="preserve">aktyviai teikti pastabas, klausimus ir pasiūlymus, bei pateikti atsakymus į pateiktus klausimus. </w:t>
      </w:r>
      <w:r w:rsidRPr="0017263A">
        <w:rPr>
          <w:sz w:val="20"/>
          <w:szCs w:val="20"/>
        </w:rPr>
        <w:t>Klausimai, pastabos (siūlymai), gauti pasibaigus aukščiau nurodytam terminui gali būti nenagrinėjami.</w:t>
      </w:r>
      <w:r w:rsidRPr="0017263A">
        <w:rPr>
          <w:bCs/>
          <w:kern w:val="24"/>
          <w:sz w:val="20"/>
          <w:szCs w:val="20"/>
          <w:lang w:eastAsia="lt-LT"/>
        </w:rPr>
        <w:t xml:space="preserve"> </w:t>
      </w:r>
      <w:r w:rsidRPr="0017263A">
        <w:rPr>
          <w:rFonts w:eastAsia="Calibri"/>
          <w:sz w:val="20"/>
          <w:szCs w:val="20"/>
        </w:rPr>
        <w:t>Susitikimai rengiami nebus.</w:t>
      </w:r>
    </w:p>
    <w:p w:rsidR="00DD6139" w:rsidRPr="0017263A" w:rsidRDefault="00DD6139" w:rsidP="00DD6139">
      <w:pPr>
        <w:ind w:firstLine="720"/>
        <w:jc w:val="both"/>
        <w:rPr>
          <w:rFonts w:eastAsia="Calibri"/>
          <w:sz w:val="20"/>
          <w:szCs w:val="20"/>
        </w:rPr>
      </w:pPr>
      <w:r w:rsidRPr="0017263A">
        <w:rPr>
          <w:rFonts w:eastAsia="Calibri"/>
          <w:sz w:val="20"/>
          <w:szCs w:val="20"/>
        </w:rPr>
        <w:t>Rinkos konsultacija nėra skelbimas apie Pirkimą ar išankstinis skelbimas apie Pirkimą, techninės specifikacijos projektas nėra galutinis Pirkimo dokumentas.</w:t>
      </w:r>
    </w:p>
    <w:p w:rsidR="00DD6139" w:rsidRPr="0017263A" w:rsidRDefault="00DD6139" w:rsidP="00DD6139">
      <w:pPr>
        <w:pStyle w:val="Body2"/>
        <w:ind w:firstLine="567"/>
        <w:rPr>
          <w:rFonts w:cs="Times New Roman"/>
          <w:sz w:val="20"/>
          <w:szCs w:val="20"/>
          <w:lang w:val="lt-LT"/>
        </w:rPr>
      </w:pPr>
      <w:r w:rsidRPr="0017263A">
        <w:rPr>
          <w:rFonts w:eastAsia="Calibri" w:cs="Times New Roman"/>
          <w:color w:val="auto"/>
          <w:sz w:val="20"/>
          <w:szCs w:val="20"/>
        </w:rPr>
        <w:tab/>
      </w:r>
      <w:r w:rsidRPr="0017263A">
        <w:rPr>
          <w:rFonts w:cs="Times New Roman"/>
          <w:color w:val="auto"/>
          <w:sz w:val="20"/>
          <w:szCs w:val="20"/>
          <w:lang w:val="lt-LT"/>
        </w:rPr>
        <w:t xml:space="preserve">Siekdami parengti pirkimo sąlygas atitinkančias naujausias </w:t>
      </w:r>
      <w:r w:rsidRPr="0017263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17263A">
              <w:rPr>
                <w:b/>
                <w:sz w:val="20"/>
                <w:szCs w:val="20"/>
              </w:rPr>
              <w:t>Kokios pastabos ir pasiūlymai techninei specifikacijai?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17263A">
              <w:rPr>
                <w:b/>
                <w:sz w:val="20"/>
                <w:szCs w:val="20"/>
              </w:rPr>
              <w:t xml:space="preserve">Ar </w:t>
            </w:r>
            <w:r w:rsidRPr="0017263A">
              <w:rPr>
                <w:rFonts w:eastAsia="Calibri"/>
                <w:b/>
                <w:sz w:val="20"/>
                <w:szCs w:val="20"/>
              </w:rPr>
              <w:t>siūlomi sprendimai gali riboti kitų tiekėjų galimybes dalyvauti pirkime?</w:t>
            </w:r>
            <w:r w:rsidRPr="0017263A">
              <w:rPr>
                <w:rFonts w:eastAsia="Calibri"/>
                <w:b/>
                <w:sz w:val="20"/>
                <w:szCs w:val="20"/>
              </w:rPr>
              <w:tab/>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rPr>
          <w:trHeight w:val="289"/>
        </w:trPr>
        <w:tc>
          <w:tcPr>
            <w:tcW w:w="3030" w:type="pct"/>
            <w:shd w:val="clear" w:color="auto" w:fill="auto"/>
          </w:tcPr>
          <w:p w:rsidR="00DD6139" w:rsidRPr="0017263A"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Kokia preliminari numatomų įsigyti prekių kaina Eur be PVM</w:t>
            </w:r>
            <w:r w:rsidR="004F5F69" w:rsidRPr="0017263A">
              <w:rPr>
                <w:rFonts w:ascii="Times New Roman" w:hAnsi="Times New Roman"/>
                <w:b/>
                <w:sz w:val="20"/>
                <w:szCs w:val="20"/>
              </w:rPr>
              <w:t>/ Eur su PVM</w:t>
            </w:r>
            <w:r w:rsidR="00FC240A" w:rsidRPr="0017263A">
              <w:rPr>
                <w:rFonts w:ascii="Times New Roman" w:hAnsi="Times New Roman"/>
                <w:b/>
                <w:sz w:val="20"/>
                <w:szCs w:val="20"/>
              </w:rPr>
              <w:t>, kai sutartis galios 24 mėnesius</w:t>
            </w:r>
            <w:r w:rsidRPr="0017263A">
              <w:rPr>
                <w:rFonts w:ascii="Times New Roman" w:hAnsi="Times New Roman"/>
                <w:b/>
                <w:sz w:val="20"/>
                <w:szCs w:val="20"/>
              </w:rPr>
              <w:t>?</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CC25EF" w:rsidRPr="0017263A" w:rsidTr="0059761D">
        <w:trPr>
          <w:trHeight w:val="289"/>
        </w:trPr>
        <w:tc>
          <w:tcPr>
            <w:tcW w:w="3030" w:type="pct"/>
            <w:shd w:val="clear" w:color="auto" w:fill="auto"/>
          </w:tcPr>
          <w:p w:rsidR="00CC25EF" w:rsidRPr="0017263A"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 xml:space="preserve">Kokios pastabos prekių pristatymui: prekių pristatymo/sumontavimo terminas ne vėliau kaip per </w:t>
            </w:r>
            <w:r w:rsidR="00FC240A" w:rsidRPr="0017263A">
              <w:rPr>
                <w:rFonts w:ascii="Times New Roman" w:hAnsi="Times New Roman"/>
                <w:b/>
                <w:sz w:val="20"/>
                <w:szCs w:val="20"/>
              </w:rPr>
              <w:t>3</w:t>
            </w:r>
            <w:r w:rsidR="00AB10AC" w:rsidRPr="0017263A">
              <w:rPr>
                <w:rFonts w:ascii="Times New Roman" w:hAnsi="Times New Roman"/>
                <w:b/>
                <w:sz w:val="20"/>
                <w:szCs w:val="20"/>
              </w:rPr>
              <w:t xml:space="preserve"> dien</w:t>
            </w:r>
            <w:r w:rsidR="00FC240A" w:rsidRPr="0017263A">
              <w:rPr>
                <w:rFonts w:ascii="Times New Roman" w:hAnsi="Times New Roman"/>
                <w:b/>
                <w:sz w:val="20"/>
                <w:szCs w:val="20"/>
              </w:rPr>
              <w:t>as</w:t>
            </w:r>
            <w:r w:rsidR="00AB10AC" w:rsidRPr="0017263A">
              <w:rPr>
                <w:rFonts w:ascii="Times New Roman" w:hAnsi="Times New Roman"/>
                <w:b/>
                <w:sz w:val="20"/>
                <w:szCs w:val="20"/>
              </w:rPr>
              <w:t xml:space="preserve"> </w:t>
            </w:r>
            <w:r w:rsidRPr="0017263A">
              <w:rPr>
                <w:rFonts w:ascii="Times New Roman" w:hAnsi="Times New Roman"/>
                <w:b/>
                <w:sz w:val="20"/>
                <w:szCs w:val="20"/>
              </w:rPr>
              <w:t xml:space="preserve">nuo </w:t>
            </w:r>
            <w:r w:rsidR="00FC240A" w:rsidRPr="0017263A">
              <w:rPr>
                <w:rFonts w:ascii="Times New Roman" w:hAnsi="Times New Roman"/>
                <w:b/>
                <w:sz w:val="20"/>
                <w:szCs w:val="20"/>
              </w:rPr>
              <w:t>užsakymo pateikimo dienos</w:t>
            </w:r>
            <w:r w:rsidRPr="0017263A">
              <w:rPr>
                <w:rFonts w:ascii="Times New Roman" w:hAnsi="Times New Roman"/>
                <w:b/>
                <w:sz w:val="20"/>
                <w:szCs w:val="20"/>
              </w:rPr>
              <w:t>?</w:t>
            </w:r>
          </w:p>
        </w:tc>
        <w:tc>
          <w:tcPr>
            <w:tcW w:w="1970" w:type="pct"/>
            <w:shd w:val="clear" w:color="auto" w:fill="auto"/>
          </w:tcPr>
          <w:p w:rsidR="00CC25EF" w:rsidRPr="0017263A" w:rsidRDefault="00CC25EF"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3D2908" w:rsidRPr="0017263A"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17263A">
              <w:rPr>
                <w:rFonts w:ascii="Times New Roman" w:eastAsia="MS Mincho" w:hAnsi="Times New Roman"/>
                <w:b/>
                <w:bCs/>
                <w:noProof/>
                <w:sz w:val="20"/>
                <w:szCs w:val="20"/>
                <w:lang w:eastAsia="ja-JP"/>
              </w:rPr>
              <w:t>Ar taikytini aplinkosauginiai reikalav</w:t>
            </w:r>
            <w:r w:rsidR="004F7A62" w:rsidRPr="0017263A">
              <w:rPr>
                <w:rFonts w:ascii="Times New Roman" w:eastAsia="MS Mincho" w:hAnsi="Times New Roman"/>
                <w:b/>
                <w:bCs/>
                <w:noProof/>
                <w:sz w:val="20"/>
                <w:szCs w:val="20"/>
                <w:lang w:eastAsia="ja-JP"/>
              </w:rPr>
              <w:t>i</w:t>
            </w:r>
            <w:r w:rsidRPr="0017263A">
              <w:rPr>
                <w:rFonts w:ascii="Times New Roman" w:eastAsia="MS Mincho" w:hAnsi="Times New Roman"/>
                <w:b/>
                <w:bCs/>
                <w:noProof/>
                <w:sz w:val="20"/>
                <w:szCs w:val="20"/>
                <w:lang w:eastAsia="ja-JP"/>
              </w:rPr>
              <w:t>mai?</w:t>
            </w:r>
            <w:r w:rsidR="004F7A62" w:rsidRPr="0017263A">
              <w:rPr>
                <w:rFonts w:ascii="Times New Roman" w:eastAsia="MS Mincho" w:hAnsi="Times New Roman"/>
                <w:b/>
                <w:bCs/>
                <w:noProof/>
                <w:sz w:val="20"/>
                <w:szCs w:val="20"/>
                <w:lang w:eastAsia="ja-JP"/>
              </w:rPr>
              <w:t xml:space="preserve"> </w:t>
            </w:r>
            <w:r w:rsidR="004F7A62" w:rsidRPr="0017263A">
              <w:rPr>
                <w:rFonts w:ascii="Times New Roman" w:eastAsia="MS Mincho" w:hAnsi="Times New Roman"/>
                <w:bCs/>
                <w:noProof/>
                <w:sz w:val="20"/>
                <w:szCs w:val="20"/>
                <w:lang w:eastAsia="ja-JP"/>
              </w:rPr>
              <w:t>Žemiau parengti reikal</w:t>
            </w:r>
            <w:r w:rsidR="0049276B" w:rsidRPr="0017263A">
              <w:rPr>
                <w:rFonts w:ascii="Times New Roman" w:eastAsia="MS Mincho" w:hAnsi="Times New Roman"/>
                <w:bCs/>
                <w:noProof/>
                <w:sz w:val="20"/>
                <w:szCs w:val="20"/>
                <w:lang w:eastAsia="ja-JP"/>
              </w:rPr>
              <w:t>a</w:t>
            </w:r>
            <w:r w:rsidR="004F7A62" w:rsidRPr="0017263A">
              <w:rPr>
                <w:rFonts w:ascii="Times New Roman" w:eastAsia="MS Mincho" w:hAnsi="Times New Roman"/>
                <w:bCs/>
                <w:noProof/>
                <w:sz w:val="20"/>
                <w:szCs w:val="20"/>
                <w:lang w:eastAsia="ja-JP"/>
              </w:rPr>
              <w:t xml:space="preserve">vimai </w:t>
            </w:r>
            <w:r w:rsidR="004F7A62" w:rsidRPr="0017263A">
              <w:rPr>
                <w:rFonts w:ascii="Times New Roman" w:hAnsi="Times New Roman"/>
                <w:sz w:val="20"/>
                <w:szCs w:val="20"/>
              </w:rPr>
              <w:t xml:space="preserve">parengti vadovaujantis </w:t>
            </w:r>
            <w:r w:rsidR="004F7A62" w:rsidRPr="0017263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17263A">
              <w:rPr>
                <w:rFonts w:ascii="Times New Roman" w:hAnsi="Times New Roman"/>
                <w:bCs/>
                <w:sz w:val="20"/>
                <w:szCs w:val="20"/>
              </w:rPr>
              <w:t>*</w:t>
            </w:r>
          </w:p>
        </w:tc>
        <w:tc>
          <w:tcPr>
            <w:tcW w:w="1970" w:type="pct"/>
            <w:shd w:val="clear" w:color="auto" w:fill="auto"/>
          </w:tcPr>
          <w:p w:rsidR="003D2908" w:rsidRPr="0017263A" w:rsidRDefault="003D2908"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8A3F22" w:rsidRPr="0017263A" w:rsidRDefault="008A3F22" w:rsidP="00F11E10">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49276B" w:rsidRPr="0017263A" w:rsidTr="007F7E5A">
        <w:trPr>
          <w:trHeight w:val="306"/>
        </w:trPr>
        <w:tc>
          <w:tcPr>
            <w:tcW w:w="6096" w:type="dxa"/>
            <w:vAlign w:val="center"/>
          </w:tcPr>
          <w:p w:rsidR="0049276B" w:rsidRPr="0017263A" w:rsidRDefault="0049276B" w:rsidP="00F11E10">
            <w:pPr>
              <w:pStyle w:val="Antrat2"/>
              <w:numPr>
                <w:ilvl w:val="0"/>
                <w:numId w:val="0"/>
              </w:numPr>
              <w:jc w:val="center"/>
              <w:outlineLvl w:val="1"/>
              <w:rPr>
                <w:b/>
                <w:sz w:val="20"/>
              </w:rPr>
            </w:pPr>
            <w:r w:rsidRPr="0017263A">
              <w:rPr>
                <w:b/>
                <w:sz w:val="20"/>
              </w:rPr>
              <w:t>*ATLIEKANT ŽALIUOSIUS VIEŠUOSIUS PIRKIMUS PRIVALOMA</w:t>
            </w:r>
            <w:r w:rsidRPr="0017263A">
              <w:rPr>
                <w:rFonts w:eastAsia="Trebuchet MS"/>
                <w:b/>
                <w:sz w:val="20"/>
              </w:rPr>
              <w:t xml:space="preserve">, KAD </w:t>
            </w:r>
            <w:r w:rsidRPr="0017263A">
              <w:rPr>
                <w:b/>
                <w:sz w:val="20"/>
              </w:rPr>
              <w:t>SIŪLOMOS PREKĖS ATITIKTŲ:</w:t>
            </w:r>
          </w:p>
        </w:tc>
        <w:tc>
          <w:tcPr>
            <w:tcW w:w="3969" w:type="dxa"/>
            <w:vAlign w:val="center"/>
          </w:tcPr>
          <w:p w:rsidR="0049276B" w:rsidRPr="0017263A" w:rsidRDefault="0049276B" w:rsidP="00F11E10">
            <w:pPr>
              <w:jc w:val="center"/>
              <w:rPr>
                <w:b/>
                <w:sz w:val="20"/>
                <w:szCs w:val="20"/>
              </w:rPr>
            </w:pPr>
            <w:r w:rsidRPr="0017263A">
              <w:rPr>
                <w:rFonts w:eastAsia="Calibri"/>
                <w:b/>
                <w:bCs/>
                <w:sz w:val="20"/>
                <w:szCs w:val="20"/>
              </w:rPr>
              <w:t>RINKOS KONSULTACIJOS DALYVIO ATSAKYMAS IR (AR) SIŪLYMAI</w:t>
            </w:r>
          </w:p>
        </w:tc>
      </w:tr>
      <w:tr w:rsidR="008A3F22" w:rsidRPr="0017263A" w:rsidTr="007F7E5A">
        <w:tc>
          <w:tcPr>
            <w:tcW w:w="6096" w:type="dxa"/>
          </w:tcPr>
          <w:p w:rsidR="008A3F22" w:rsidRPr="0017263A" w:rsidRDefault="008A3F22" w:rsidP="0079671D">
            <w:pPr>
              <w:pStyle w:val="Antrat2"/>
              <w:numPr>
                <w:ilvl w:val="0"/>
                <w:numId w:val="0"/>
              </w:numPr>
              <w:outlineLvl w:val="1"/>
              <w:rPr>
                <w:b/>
                <w:sz w:val="20"/>
              </w:rPr>
            </w:pPr>
            <w:r w:rsidRPr="0017263A">
              <w:rPr>
                <w:b/>
                <w:sz w:val="20"/>
              </w:rPr>
              <w:t>I variantas</w:t>
            </w:r>
            <w:r w:rsidRPr="0017263A">
              <w:rPr>
                <w:b/>
                <w:sz w:val="20"/>
                <w:u w:color="000000"/>
              </w:rPr>
              <w:t xml:space="preserve"> </w:t>
            </w:r>
          </w:p>
          <w:p w:rsidR="008A3F22" w:rsidRPr="0017263A" w:rsidRDefault="008A3F22" w:rsidP="00F11E10">
            <w:pPr>
              <w:ind w:firstLine="601"/>
              <w:jc w:val="both"/>
              <w:rPr>
                <w:sz w:val="20"/>
                <w:szCs w:val="20"/>
              </w:rPr>
            </w:pPr>
            <w:r w:rsidRPr="0017263A">
              <w:rPr>
                <w:rFonts w:eastAsia="Trebuchet MS"/>
                <w:sz w:val="20"/>
                <w:szCs w:val="20"/>
              </w:rPr>
              <w:t xml:space="preserve">LR aplinkos ministro </w:t>
            </w:r>
            <w:r w:rsidRPr="0017263A">
              <w:rPr>
                <w:sz w:val="20"/>
                <w:szCs w:val="20"/>
              </w:rPr>
              <w:t>2011 m. birželio 28 d. įsakymo Nr. D1</w:t>
            </w:r>
            <w:r w:rsidRPr="0017263A">
              <w:rPr>
                <w:rFonts w:eastAsia="Trebuchet MS"/>
                <w:sz w:val="20"/>
                <w:szCs w:val="20"/>
              </w:rPr>
              <w:t xml:space="preserve">-508 </w:t>
            </w:r>
            <w:r w:rsidRPr="0017263A">
              <w:rPr>
                <w:sz w:val="20"/>
                <w:szCs w:val="20"/>
              </w:rPr>
              <w:t xml:space="preserve">„Dėl produktų, kurių viešiesiems pirkimams ir pirkimams taikytini </w:t>
            </w:r>
            <w:r w:rsidRPr="0017263A">
              <w:rPr>
                <w:sz w:val="20"/>
                <w:szCs w:val="20"/>
              </w:rPr>
              <w:lastRenderedPageBreak/>
              <w:t xml:space="preserve">aplinkos apsaugos kriterijai, sąrašo, aplinkos apsaugos kriterijų ir </w:t>
            </w:r>
            <w:r w:rsidRPr="0017263A">
              <w:rPr>
                <w:rFonts w:eastAsia="Trebuchet MS"/>
                <w:sz w:val="20"/>
                <w:szCs w:val="20"/>
              </w:rPr>
              <w:t>aplinkos apsaugos k</w:t>
            </w:r>
            <w:r w:rsidRPr="0017263A">
              <w:rPr>
                <w:sz w:val="20"/>
                <w:szCs w:val="20"/>
              </w:rPr>
              <w:t>riterijų, kuriuos perkančiosios organizacijos ir perkantieji subjektai turi taikyti pirkdami prekes, paslaugas ar darbus, taikymo tvarkos aprašo patvirtinimo”</w:t>
            </w:r>
            <w:r w:rsidRPr="0017263A">
              <w:rPr>
                <w:rFonts w:eastAsia="Trebuchet MS"/>
                <w:sz w:val="20"/>
                <w:szCs w:val="20"/>
              </w:rPr>
              <w:t xml:space="preserve"> XXX skyriaus 67.1 punkte </w:t>
            </w:r>
            <w:r w:rsidRPr="0017263A">
              <w:rPr>
                <w:sz w:val="20"/>
                <w:szCs w:val="20"/>
              </w:rPr>
              <w:t xml:space="preserve">išdėstytus </w:t>
            </w:r>
            <w:r w:rsidRPr="0017263A">
              <w:rPr>
                <w:rFonts w:eastAsia="Trebuchet MS"/>
                <w:sz w:val="20"/>
                <w:szCs w:val="20"/>
              </w:rPr>
              <w:t xml:space="preserve">visus minimalius aplinkos apsaugos kriterijus: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taikyti cheminių medžiagų valdymo sistemą, kuri apima specialius išteklius, reikiamas praktines žinias, dokumentais pagrįstą praktiką ir reikalavimus, kad būtų žinoma, ar gaminyje </w:t>
            </w:r>
            <w:r w:rsidRPr="0017263A">
              <w:rPr>
                <w:rFonts w:eastAsia="Trebuchet MS"/>
                <w:sz w:val="20"/>
                <w:szCs w:val="20"/>
              </w:rPr>
              <w:t>(-</w:t>
            </w:r>
            <w:r w:rsidRPr="0017263A">
              <w:rPr>
                <w:sz w:val="20"/>
                <w:szCs w:val="20"/>
              </w:rPr>
              <w:t>iuose) yra cheminių medžiagų, įtrauktų į REACH reglamento 57 straipsnyje nurodytų labai didelį susirūpinimą dėl savo poveikio žmonių sveikatai ir aplinkai keliančių cheminių medžiagų (</w:t>
            </w:r>
            <w:r w:rsidRPr="0017263A">
              <w:rPr>
                <w:rFonts w:eastAsia="Trebuchet MS"/>
                <w:i/>
                <w:sz w:val="20"/>
                <w:szCs w:val="20"/>
              </w:rPr>
              <w:t>angl.</w:t>
            </w:r>
            <w:r w:rsidRPr="0017263A">
              <w:rPr>
                <w:rFonts w:eastAsia="Trebuchet MS"/>
                <w:sz w:val="20"/>
                <w:szCs w:val="20"/>
              </w:rPr>
              <w:t xml:space="preserve"> </w:t>
            </w:r>
            <w:r w:rsidRPr="0017263A">
              <w:rPr>
                <w:rFonts w:eastAsia="Trebuchet MS"/>
                <w:i/>
                <w:sz w:val="20"/>
                <w:szCs w:val="20"/>
              </w:rPr>
              <w:t>SVHC</w:t>
            </w:r>
            <w:r w:rsidRPr="0017263A">
              <w:rPr>
                <w:rFonts w:eastAsia="Trebuchet MS"/>
                <w:sz w:val="20"/>
                <w:szCs w:val="20"/>
              </w:rPr>
              <w:t xml:space="preserve">) </w:t>
            </w:r>
            <w:r w:rsidRPr="0017263A">
              <w:rPr>
                <w:sz w:val="20"/>
                <w:szCs w:val="20"/>
              </w:rPr>
              <w:t>sąrašą (įskaitant galimus šio sąrašo papildymus):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turi pateikti informaciją apie jo teikiamuose gaminiuose esančias</w:t>
            </w:r>
            <w:r w:rsidRPr="0017263A">
              <w:rPr>
                <w:rFonts w:eastAsia="Trebuchet MS"/>
                <w:sz w:val="20"/>
                <w:szCs w:val="20"/>
              </w:rPr>
              <w:t xml:space="preserve"> </w:t>
            </w:r>
            <w:r w:rsidRPr="0017263A">
              <w:rPr>
                <w:sz w:val="20"/>
                <w:szCs w:val="20"/>
              </w:rPr>
              <w:t>į šį sąrašą įtrauktas chemines medžiagas, įskaitant naujas į sąrašą įtrauktas chemines medžiagas;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proofErr w:type="gramStart"/>
            <w:r w:rsidRPr="0017263A">
              <w:rPr>
                <w:sz w:val="20"/>
                <w:szCs w:val="20"/>
              </w:rPr>
              <w:t>tiekėjas</w:t>
            </w:r>
            <w:proofErr w:type="gramEnd"/>
            <w:r w:rsidRPr="0017263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tiekėjas turi pateikti eksploatavimo vadovą, kuriame išdėstyti reikalavimai, kaip pasiekti maksimalų medicinos įrenginio aplinkosauginį veiksmingumą, nemažinant įrenginio klinikinio </w:t>
            </w:r>
            <w:r w:rsidRPr="0017263A">
              <w:rPr>
                <w:rFonts w:eastAsia="Trebuchet MS"/>
                <w:sz w:val="20"/>
                <w:szCs w:val="20"/>
              </w:rPr>
              <w:t xml:space="preserve">veiksmingumo: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jc w:val="both"/>
              <w:rPr>
                <w:sz w:val="20"/>
                <w:szCs w:val="20"/>
              </w:rPr>
            </w:pPr>
            <w:proofErr w:type="gramStart"/>
            <w:r w:rsidRPr="0017263A">
              <w:rPr>
                <w:sz w:val="20"/>
                <w:szCs w:val="20"/>
              </w:rPr>
              <w:t>pateikti</w:t>
            </w:r>
            <w:proofErr w:type="gramEnd"/>
            <w:r w:rsidRPr="0017263A">
              <w:rPr>
                <w:sz w:val="20"/>
                <w:szCs w:val="20"/>
              </w:rPr>
              <w:t xml:space="preserve"> rekomendacijas, kaip atlikti tinkamą įrangos techninę priežiūrą, įskaitant informaciją apie galimas pakeisti atsargines dalis</w:t>
            </w:r>
            <w:r w:rsidRPr="0017263A">
              <w:rPr>
                <w:rFonts w:eastAsia="Trebuchet MS"/>
                <w:sz w:val="20"/>
                <w:szCs w:val="20"/>
              </w:rPr>
              <w:t xml:space="preserve"> ir valymo patarimus.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eksploatavimo vadovas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užtikrinti, kad per garantinį įrangos naudojimo laikotarpį ir bent 5 metus po garantinio laikotarpio būtų galima įsigyti originalių arba joms lygiaverčių atsarginių dalių.</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įsipareigoti parengti mokymus, kuriuose būtų aptarti elektros energijos </w:t>
            </w:r>
            <w:r w:rsidRPr="0017263A">
              <w:rPr>
                <w:rFonts w:eastAsia="Trebuchet MS"/>
                <w:sz w:val="20"/>
                <w:szCs w:val="20"/>
              </w:rPr>
              <w:t xml:space="preserve">vartojimo </w:t>
            </w:r>
            <w:r w:rsidRPr="0017263A">
              <w:rPr>
                <w:sz w:val="20"/>
                <w:szCs w:val="20"/>
              </w:rPr>
              <w:t>efektyvumo didinimo aspektai (vartojimo parametrų reguliavimas ir tikslinimas, ir kt.).</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aprašas apie ketinamus rengti mokymus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įranga</w:t>
            </w:r>
            <w:proofErr w:type="gramEnd"/>
            <w:r w:rsidRPr="0017263A">
              <w:rPr>
                <w:sz w:val="20"/>
                <w:szCs w:val="20"/>
              </w:rPr>
              <w:t xml:space="preserve"> turi būti montuojama taip, kad būtų pasiek</w:t>
            </w:r>
            <w:r w:rsidRPr="0017263A">
              <w:rPr>
                <w:rFonts w:eastAsia="Trebuchet MS"/>
                <w:sz w:val="20"/>
                <w:szCs w:val="20"/>
              </w:rPr>
              <w:t xml:space="preserve">tas kuo didesnis vartojimo efektyvumas: </w:t>
            </w:r>
            <w:r w:rsidRPr="0017263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17263A">
              <w:rPr>
                <w:rFonts w:eastAsia="Trebuchet MS"/>
                <w:sz w:val="20"/>
                <w:szCs w:val="20"/>
              </w:rPr>
              <w:t xml:space="preserve"> </w:t>
            </w:r>
            <w:r w:rsidRPr="0017263A">
              <w:rPr>
                <w:sz w:val="20"/>
                <w:szCs w:val="20"/>
              </w:rPr>
              <w:t>geriausius įrangos energijos vartojimo parametrus.</w:t>
            </w:r>
            <w:r w:rsidRPr="0017263A">
              <w:rPr>
                <w:rFonts w:eastAsia="Trebuchet MS"/>
                <w:sz w:val="20"/>
                <w:szCs w:val="20"/>
              </w:rPr>
              <w:t xml:space="preserve"> </w:t>
            </w:r>
          </w:p>
          <w:p w:rsidR="008A3F22" w:rsidRPr="0017263A" w:rsidRDefault="008A3F22" w:rsidP="0079671D">
            <w:pPr>
              <w:spacing w:line="259" w:lineRule="auto"/>
              <w:ind w:right="-9"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montavimo procedūros ir profilaktinės techninės priežiūros procedūros aprašas (jei taikoma)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tiekėjas</w:t>
            </w:r>
            <w:proofErr w:type="gramEnd"/>
            <w:r w:rsidRPr="0017263A">
              <w:rPr>
                <w:sz w:val="20"/>
                <w:szCs w:val="20"/>
              </w:rPr>
              <w:t xml:space="preserve"> turi įsipareigoti 5 metus nuo gaminio pristatymo, per 6 mėnesius nuo to laiko, kai Europos cheminių medžiagų agentūra (angl. ECHA) paskelbia patikslintą </w:t>
            </w:r>
            <w:proofErr w:type="gramStart"/>
            <w:r w:rsidRPr="0017263A">
              <w:rPr>
                <w:sz w:val="20"/>
                <w:szCs w:val="20"/>
              </w:rPr>
              <w:t>dėl</w:t>
            </w:r>
            <w:proofErr w:type="gramEnd"/>
            <w:r w:rsidRPr="0017263A">
              <w:rPr>
                <w:sz w:val="20"/>
                <w:szCs w:val="20"/>
              </w:rPr>
              <w:t xml:space="preserve"> savo poveikio žmonių sveikatai ir aplinkai keliančių cheminių medžiagų (angl. SVHC) kandidatinį sąrašą, informuoti pirki</w:t>
            </w:r>
            <w:r w:rsidRPr="0017263A">
              <w:rPr>
                <w:rFonts w:eastAsia="Trebuchet MS"/>
                <w:sz w:val="20"/>
                <w:szCs w:val="20"/>
              </w:rPr>
              <w:t xml:space="preserve">mo </w:t>
            </w:r>
            <w:r w:rsidRPr="0017263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17263A">
              <w:rPr>
                <w:rFonts w:eastAsia="Trebuchet MS"/>
                <w:sz w:val="20"/>
                <w:szCs w:val="20"/>
              </w:rPr>
              <w:t xml:space="preserve">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17263A">
              <w:rPr>
                <w:rFonts w:eastAsia="Trebuchet MS"/>
                <w:sz w:val="20"/>
                <w:szCs w:val="20"/>
              </w:rPr>
              <w:t xml:space="preserve">reikalavimus. </w:t>
            </w:r>
          </w:p>
          <w:p w:rsidR="008A3F22" w:rsidRPr="0017263A" w:rsidRDefault="008A3F22" w:rsidP="0049276B">
            <w:pPr>
              <w:spacing w:line="259" w:lineRule="auto"/>
              <w:ind w:right="-9" w:firstLine="601"/>
              <w:jc w:val="both"/>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gamintojo ir (ar) importuotojo raštiškas patvirtinimas apie pakuotės atitiktį arba kiti lygiaverčiai įrodymai</w:t>
            </w:r>
            <w:r w:rsidRPr="0017263A">
              <w:rPr>
                <w:rFonts w:eastAsia="Trebuchet MS"/>
                <w:sz w:val="20"/>
                <w:szCs w:val="20"/>
              </w:rPr>
              <w:t xml:space="preserve">. </w:t>
            </w:r>
          </w:p>
        </w:tc>
        <w:tc>
          <w:tcPr>
            <w:tcW w:w="3969" w:type="dxa"/>
          </w:tcPr>
          <w:p w:rsidR="008A3F22" w:rsidRPr="0017263A" w:rsidRDefault="008A3F22" w:rsidP="003D2908">
            <w:pPr>
              <w:spacing w:after="269"/>
              <w:rPr>
                <w:sz w:val="20"/>
                <w:szCs w:val="20"/>
              </w:rPr>
            </w:pPr>
          </w:p>
        </w:tc>
      </w:tr>
      <w:tr w:rsidR="008A3F22" w:rsidRPr="0017263A" w:rsidTr="007F7E5A">
        <w:tc>
          <w:tcPr>
            <w:tcW w:w="6096" w:type="dxa"/>
          </w:tcPr>
          <w:p w:rsidR="008A3F22" w:rsidRPr="0017263A" w:rsidRDefault="008A3F22" w:rsidP="008A3F22">
            <w:pPr>
              <w:pStyle w:val="Antrat2"/>
              <w:numPr>
                <w:ilvl w:val="0"/>
                <w:numId w:val="0"/>
              </w:numPr>
              <w:outlineLvl w:val="1"/>
              <w:rPr>
                <w:b/>
                <w:sz w:val="20"/>
              </w:rPr>
            </w:pPr>
            <w:r w:rsidRPr="0017263A">
              <w:rPr>
                <w:b/>
                <w:sz w:val="20"/>
              </w:rPr>
              <w:t>II variantas</w:t>
            </w:r>
            <w:r w:rsidRPr="0017263A">
              <w:rPr>
                <w:b/>
                <w:sz w:val="20"/>
                <w:u w:color="000000"/>
              </w:rPr>
              <w:t xml:space="preserve"> </w:t>
            </w:r>
          </w:p>
          <w:p w:rsidR="008A3F22" w:rsidRPr="0017263A" w:rsidRDefault="008A3F22" w:rsidP="0049276B">
            <w:pPr>
              <w:ind w:left="20" w:hanging="20"/>
              <w:jc w:val="both"/>
              <w:rPr>
                <w:sz w:val="20"/>
                <w:szCs w:val="20"/>
              </w:rPr>
            </w:pPr>
            <w:r w:rsidRPr="0017263A">
              <w:rPr>
                <w:sz w:val="20"/>
                <w:szCs w:val="20"/>
              </w:rPr>
              <w:t>Lietuvos Respublikos aplinkos ministro 2011 m. birželio 28 d. įsakymu Nr. D1</w:t>
            </w:r>
            <w:r w:rsidRPr="0017263A">
              <w:rPr>
                <w:rFonts w:eastAsia="Trebuchet MS"/>
                <w:sz w:val="20"/>
                <w:szCs w:val="20"/>
              </w:rPr>
              <w:t xml:space="preserve">-508 (Lietuvos </w:t>
            </w:r>
            <w:r w:rsidRPr="0017263A">
              <w:rPr>
                <w:sz w:val="20"/>
                <w:szCs w:val="20"/>
              </w:rPr>
              <w:t>Respublikos aplinkos ministro 2017 m. rugpjūčio 22 d. įsakymo Nr. D1</w:t>
            </w:r>
            <w:r w:rsidRPr="0017263A">
              <w:rPr>
                <w:rFonts w:eastAsia="Trebuchet MS"/>
                <w:sz w:val="20"/>
                <w:szCs w:val="20"/>
              </w:rPr>
              <w:t xml:space="preserve">-672 redakcija) patvirtinto Aplinkos </w:t>
            </w:r>
            <w:r w:rsidRPr="0017263A">
              <w:rPr>
                <w:sz w:val="20"/>
                <w:szCs w:val="20"/>
              </w:rPr>
              <w:t>apsaugos kriterijų, kuriuos perkančiosios organizacijos ir p</w:t>
            </w:r>
            <w:r w:rsidRPr="0017263A">
              <w:rPr>
                <w:rFonts w:eastAsia="Trebuchet MS"/>
                <w:sz w:val="20"/>
                <w:szCs w:val="20"/>
              </w:rPr>
              <w:t xml:space="preserve">erkantieji subjektai  turi taikyti pirkdami </w:t>
            </w:r>
            <w:r w:rsidRPr="0017263A">
              <w:rPr>
                <w:sz w:val="20"/>
                <w:szCs w:val="20"/>
              </w:rPr>
              <w:t>prekes, paslaugas ar darbus, taikymo tvarkos aprašo 4.2. punkto reikalavimus:</w:t>
            </w:r>
            <w:r w:rsidRPr="0017263A">
              <w:rPr>
                <w:rFonts w:eastAsia="Trebuchet MS"/>
                <w:sz w:val="20"/>
                <w:szCs w:val="20"/>
              </w:rPr>
              <w:t xml:space="preserve"> </w:t>
            </w:r>
          </w:p>
          <w:p w:rsidR="008A3F22" w:rsidRPr="0017263A" w:rsidRDefault="008A3F22" w:rsidP="0049276B">
            <w:pPr>
              <w:ind w:left="20" w:hanging="20"/>
              <w:jc w:val="both"/>
              <w:rPr>
                <w:sz w:val="20"/>
                <w:szCs w:val="20"/>
              </w:rPr>
            </w:pPr>
            <w:r w:rsidRPr="0017263A">
              <w:rPr>
                <w:sz w:val="20"/>
                <w:szCs w:val="20"/>
              </w:rPr>
              <w:t xml:space="preserve">„4.2. perkamas produktas, nepriklausomai nuo to, ar jis įtrauktas į produktų sąrašą, atitinka jam nustatytus I tipo ekologinio ženklo </w:t>
            </w:r>
            <w:r w:rsidRPr="0017263A">
              <w:rPr>
                <w:rFonts w:eastAsia="Trebuchet MS"/>
                <w:sz w:val="20"/>
                <w:szCs w:val="20"/>
              </w:rPr>
              <w:t xml:space="preserve">reikalavimus (pagal LST EN ISO 14024), patvirtinamus I tipo </w:t>
            </w:r>
            <w:r w:rsidRPr="0017263A">
              <w:rPr>
                <w:sz w:val="20"/>
                <w:szCs w:val="20"/>
              </w:rPr>
              <w:t xml:space="preserve">ekologiniu ženklu arba kitu tiekėjo pateiktu lygiaverčiu įrodymu </w:t>
            </w:r>
            <w:r w:rsidRPr="0017263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17263A">
              <w:rPr>
                <w:sz w:val="20"/>
                <w:szCs w:val="20"/>
              </w:rPr>
              <w:t>–</w:t>
            </w:r>
            <w:r w:rsidRPr="0017263A">
              <w:rPr>
                <w:rFonts w:eastAsia="Trebuchet MS"/>
                <w:i/>
                <w:sz w:val="20"/>
                <w:szCs w:val="20"/>
              </w:rPr>
              <w:t xml:space="preserve">label, Polish Eco Mark </w:t>
            </w:r>
            <w:r w:rsidRPr="0017263A">
              <w:rPr>
                <w:sz w:val="20"/>
                <w:szCs w:val="20"/>
              </w:rPr>
              <w:t>–</w:t>
            </w:r>
            <w:r w:rsidRPr="0017263A">
              <w:rPr>
                <w:rFonts w:eastAsia="Trebuchet MS"/>
                <w:i/>
                <w:sz w:val="20"/>
                <w:szCs w:val="20"/>
              </w:rPr>
              <w:t xml:space="preserve"> Znak EKO arba kitas ekologinis ženklas).</w:t>
            </w:r>
            <w:r w:rsidRPr="0017263A">
              <w:rPr>
                <w:rFonts w:eastAsia="Trebuchet MS"/>
                <w:sz w:val="20"/>
                <w:szCs w:val="20"/>
              </w:rPr>
              <w:t>”</w:t>
            </w:r>
          </w:p>
        </w:tc>
        <w:tc>
          <w:tcPr>
            <w:tcW w:w="3969" w:type="dxa"/>
          </w:tcPr>
          <w:p w:rsidR="008A3F22" w:rsidRPr="0017263A" w:rsidRDefault="008A3F22" w:rsidP="003D2908">
            <w:pPr>
              <w:spacing w:after="269"/>
              <w:rPr>
                <w:sz w:val="20"/>
                <w:szCs w:val="20"/>
              </w:rPr>
            </w:pPr>
          </w:p>
        </w:tc>
      </w:tr>
      <w:tr w:rsidR="0049276B" w:rsidRPr="0017263A" w:rsidTr="007F7E5A">
        <w:tc>
          <w:tcPr>
            <w:tcW w:w="6096" w:type="dxa"/>
          </w:tcPr>
          <w:p w:rsidR="008A3F22" w:rsidRPr="0017263A" w:rsidRDefault="008A3F22" w:rsidP="008A3F22">
            <w:pPr>
              <w:jc w:val="both"/>
              <w:rPr>
                <w:b/>
                <w:bCs/>
                <w:iCs/>
                <w:sz w:val="20"/>
                <w:szCs w:val="20"/>
              </w:rPr>
            </w:pPr>
            <w:r w:rsidRPr="0017263A">
              <w:rPr>
                <w:b/>
                <w:bCs/>
                <w:iCs/>
                <w:sz w:val="20"/>
                <w:szCs w:val="20"/>
              </w:rPr>
              <w:t>III variantas:</w:t>
            </w:r>
          </w:p>
          <w:p w:rsidR="008A3F22" w:rsidRPr="0017263A" w:rsidRDefault="008A3F22" w:rsidP="008A3F22">
            <w:pPr>
              <w:jc w:val="both"/>
              <w:rPr>
                <w:bCs/>
                <w:sz w:val="20"/>
                <w:szCs w:val="20"/>
              </w:rPr>
            </w:pPr>
            <w:r w:rsidRPr="0017263A">
              <w:rPr>
                <w:bCs/>
                <w:sz w:val="20"/>
                <w:szCs w:val="20"/>
              </w:rPr>
              <w:t xml:space="preserve">Svarstytina galimybė </w:t>
            </w:r>
            <w:r w:rsidRPr="0017263A">
              <w:rPr>
                <w:sz w:val="20"/>
                <w:szCs w:val="20"/>
              </w:rPr>
              <w:t>pirkimo sutartyje nustatyti šiuos įsipareigojimus tiekėjui</w:t>
            </w:r>
            <w:r w:rsidRPr="0017263A">
              <w:rPr>
                <w:bCs/>
                <w:sz w:val="20"/>
                <w:szCs w:val="20"/>
              </w:rPr>
              <w:t>:</w:t>
            </w:r>
          </w:p>
          <w:p w:rsidR="008A3F22" w:rsidRPr="0017263A" w:rsidRDefault="008A3F22" w:rsidP="008A3F22">
            <w:pPr>
              <w:jc w:val="both"/>
              <w:rPr>
                <w:bCs/>
                <w:sz w:val="20"/>
                <w:szCs w:val="20"/>
              </w:rPr>
            </w:pPr>
            <w:r w:rsidRPr="0017263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17263A" w:rsidRDefault="008A3F22" w:rsidP="008A3F22">
            <w:pPr>
              <w:jc w:val="both"/>
              <w:rPr>
                <w:bCs/>
                <w:sz w:val="20"/>
                <w:szCs w:val="20"/>
              </w:rPr>
            </w:pPr>
            <w:r w:rsidRPr="0017263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Pr="0017263A" w:rsidRDefault="008A3F22" w:rsidP="0049276B">
            <w:pPr>
              <w:jc w:val="both"/>
              <w:rPr>
                <w:bCs/>
                <w:sz w:val="20"/>
                <w:szCs w:val="20"/>
              </w:rPr>
            </w:pPr>
            <w:r w:rsidRPr="0017263A">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17263A" w:rsidRDefault="008A3F22" w:rsidP="0049276B">
            <w:pPr>
              <w:jc w:val="both"/>
              <w:rPr>
                <w:bCs/>
                <w:sz w:val="20"/>
                <w:szCs w:val="20"/>
              </w:rPr>
            </w:pPr>
            <w:r w:rsidRPr="0017263A">
              <w:rPr>
                <w:bCs/>
                <w:sz w:val="20"/>
                <w:szCs w:val="20"/>
              </w:rPr>
              <w:t xml:space="preserve">Svarstytina galimybė </w:t>
            </w:r>
            <w:r w:rsidRPr="0017263A">
              <w:rPr>
                <w:sz w:val="20"/>
                <w:szCs w:val="20"/>
              </w:rPr>
              <w:t xml:space="preserve">pirkimo sutartyje nustatyti teisę Perkančiajai organizacijai </w:t>
            </w:r>
            <w:r w:rsidRPr="0017263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17263A" w:rsidRDefault="008A3F22" w:rsidP="003D2908">
            <w:pPr>
              <w:spacing w:after="269"/>
              <w:rPr>
                <w:sz w:val="20"/>
                <w:szCs w:val="20"/>
              </w:rPr>
            </w:pPr>
          </w:p>
        </w:tc>
      </w:tr>
    </w:tbl>
    <w:p w:rsidR="00DD6139" w:rsidRPr="0017263A" w:rsidRDefault="00DD6139" w:rsidP="00DD6139">
      <w:pPr>
        <w:ind w:firstLine="720"/>
        <w:jc w:val="both"/>
        <w:rPr>
          <w:sz w:val="20"/>
          <w:szCs w:val="20"/>
          <w:lang w:eastAsia="ja-JP"/>
        </w:rPr>
      </w:pPr>
      <w:r w:rsidRPr="0017263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17263A">
        <w:rPr>
          <w:sz w:val="20"/>
          <w:szCs w:val="20"/>
          <w:lang w:eastAsia="ja-JP"/>
        </w:rPr>
        <w:t>Jūsų pateikti įkainiai / kaina nelaikytini pasiūlymu ir bus naudojami tik rinkos tyrimo tikslais, siekiant tinkamai pasirengti būsimam pirkimui.</w:t>
      </w:r>
    </w:p>
    <w:p w:rsidR="00C713E6" w:rsidRDefault="00DD6139" w:rsidP="00C713E6">
      <w:pPr>
        <w:ind w:firstLine="720"/>
        <w:jc w:val="both"/>
        <w:rPr>
          <w:sz w:val="20"/>
          <w:szCs w:val="20"/>
        </w:rPr>
      </w:pPr>
      <w:r w:rsidRPr="0017263A">
        <w:rPr>
          <w:rFonts w:eastAsia="Calibri"/>
          <w:sz w:val="20"/>
          <w:szCs w:val="20"/>
        </w:rPr>
        <w:t xml:space="preserve">PRIDEDAMA: </w:t>
      </w:r>
      <w:bookmarkStart w:id="0" w:name="_Hlk93918024"/>
      <w:r w:rsidRPr="0017263A">
        <w:rPr>
          <w:rFonts w:eastAsia="Calibri"/>
          <w:sz w:val="20"/>
          <w:szCs w:val="20"/>
        </w:rPr>
        <w:t>T</w:t>
      </w:r>
      <w:r w:rsidRPr="0017263A">
        <w:rPr>
          <w:sz w:val="20"/>
          <w:szCs w:val="20"/>
        </w:rPr>
        <w:t>echninės specifikacijos projektas.</w:t>
      </w:r>
      <w:bookmarkEnd w:id="0"/>
    </w:p>
    <w:p w:rsidR="00C713E6" w:rsidRDefault="00C713E6" w:rsidP="007E069C">
      <w:pPr>
        <w:ind w:firstLine="720"/>
        <w:jc w:val="both"/>
        <w:rPr>
          <w:rFonts w:eastAsia="Calibri"/>
          <w:b/>
          <w:bCs/>
          <w:kern w:val="10"/>
          <w:sz w:val="20"/>
          <w:szCs w:val="20"/>
        </w:rPr>
      </w:pPr>
    </w:p>
    <w:p w:rsidR="00C713E6" w:rsidRDefault="00C713E6" w:rsidP="00C713E6">
      <w:pPr>
        <w:jc w:val="center"/>
        <w:sectPr w:rsidR="00C713E6"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C713E6" w:rsidRDefault="00C713E6" w:rsidP="00C713E6">
      <w:pPr>
        <w:jc w:val="center"/>
      </w:pPr>
      <w:r>
        <w:t xml:space="preserve">TECHNINĖ SPECIFIKACIJA: </w:t>
      </w:r>
    </w:p>
    <w:p w:rsidR="00C713E6" w:rsidRPr="003431F9" w:rsidRDefault="00C713E6" w:rsidP="00C713E6">
      <w:pPr>
        <w:jc w:val="center"/>
      </w:pPr>
      <w:r w:rsidRPr="003431F9">
        <w:rPr>
          <w:b/>
          <w:bCs/>
        </w:rPr>
        <w:t>Prekės tinkamumo vartoti terminas</w:t>
      </w:r>
      <w:r>
        <w:rPr>
          <w:b/>
          <w:bCs/>
        </w:rPr>
        <w:t xml:space="preserve"> </w:t>
      </w:r>
      <w:r w:rsidRPr="0093430B">
        <w:rPr>
          <w:b/>
          <w:bCs/>
          <w:u w:val="single"/>
        </w:rPr>
        <w:t>&gt;</w:t>
      </w:r>
      <w:r>
        <w:rPr>
          <w:b/>
          <w:bCs/>
        </w:rPr>
        <w:t xml:space="preserve"> 12 mėn.</w:t>
      </w:r>
    </w:p>
    <w:tbl>
      <w:tblPr>
        <w:tblStyle w:val="Lentelstinklelis"/>
        <w:tblW w:w="15140" w:type="dxa"/>
        <w:tblInd w:w="279" w:type="dxa"/>
        <w:tblLayout w:type="fixed"/>
        <w:tblLook w:val="04A0" w:firstRow="1" w:lastRow="0" w:firstColumn="1" w:lastColumn="0" w:noHBand="0" w:noVBand="1"/>
      </w:tblPr>
      <w:tblGrid>
        <w:gridCol w:w="993"/>
        <w:gridCol w:w="7058"/>
        <w:gridCol w:w="1842"/>
        <w:gridCol w:w="1560"/>
        <w:gridCol w:w="1702"/>
        <w:gridCol w:w="1985"/>
      </w:tblGrid>
      <w:tr w:rsidR="00C713E6" w:rsidRPr="003431F9" w:rsidTr="00C713E6">
        <w:tc>
          <w:tcPr>
            <w:tcW w:w="993" w:type="dxa"/>
            <w:tcBorders>
              <w:top w:val="single" w:sz="4" w:space="0" w:color="auto"/>
              <w:left w:val="single" w:sz="4" w:space="0" w:color="auto"/>
              <w:bottom w:val="single" w:sz="4" w:space="0" w:color="auto"/>
              <w:right w:val="single" w:sz="4" w:space="0" w:color="auto"/>
            </w:tcBorders>
            <w:hideMark/>
          </w:tcPr>
          <w:p w:rsidR="00C713E6" w:rsidRPr="005D7B09" w:rsidRDefault="00C713E6" w:rsidP="00C704D5">
            <w:pPr>
              <w:jc w:val="center"/>
              <w:rPr>
                <w:b/>
                <w:bCs/>
                <w:sz w:val="20"/>
                <w:szCs w:val="20"/>
              </w:rPr>
            </w:pPr>
            <w:r w:rsidRPr="005D7B09">
              <w:rPr>
                <w:b/>
                <w:bCs/>
                <w:sz w:val="20"/>
                <w:szCs w:val="20"/>
              </w:rPr>
              <w:t>Pirkimo dalies eil. Nr.</w:t>
            </w:r>
          </w:p>
        </w:tc>
        <w:tc>
          <w:tcPr>
            <w:tcW w:w="7058" w:type="dxa"/>
            <w:tcBorders>
              <w:top w:val="single" w:sz="4" w:space="0" w:color="auto"/>
              <w:left w:val="single" w:sz="4" w:space="0" w:color="auto"/>
              <w:bottom w:val="single" w:sz="4" w:space="0" w:color="auto"/>
              <w:right w:val="single" w:sz="4" w:space="0" w:color="auto"/>
            </w:tcBorders>
            <w:hideMark/>
          </w:tcPr>
          <w:p w:rsidR="00C713E6" w:rsidRPr="008A11A4" w:rsidRDefault="00C713E6" w:rsidP="00C704D5">
            <w:pPr>
              <w:jc w:val="center"/>
              <w:rPr>
                <w:b/>
                <w:bCs/>
                <w:sz w:val="20"/>
                <w:szCs w:val="20"/>
              </w:rPr>
            </w:pPr>
            <w:r w:rsidRPr="008A11A4">
              <w:rPr>
                <w:b/>
                <w:bCs/>
                <w:sz w:val="20"/>
                <w:szCs w:val="20"/>
              </w:rPr>
              <w:t>Prekės techninė specifikacija</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13E6" w:rsidRPr="008A11A4" w:rsidRDefault="00C713E6" w:rsidP="00C704D5">
            <w:pPr>
              <w:jc w:val="center"/>
              <w:rPr>
                <w:b/>
                <w:bCs/>
                <w:sz w:val="20"/>
                <w:szCs w:val="20"/>
              </w:rPr>
            </w:pPr>
            <w:r w:rsidRPr="008A11A4">
              <w:rPr>
                <w:b/>
                <w:bCs/>
                <w:sz w:val="20"/>
                <w:szCs w:val="20"/>
              </w:rPr>
              <w:t>Maksimalus kiekis 24 mėn.</w:t>
            </w:r>
          </w:p>
        </w:tc>
        <w:tc>
          <w:tcPr>
            <w:tcW w:w="1560" w:type="dxa"/>
            <w:tcBorders>
              <w:top w:val="single" w:sz="4" w:space="0" w:color="auto"/>
              <w:left w:val="single" w:sz="4" w:space="0" w:color="auto"/>
              <w:bottom w:val="single" w:sz="4" w:space="0" w:color="auto"/>
              <w:right w:val="single" w:sz="4" w:space="0" w:color="auto"/>
            </w:tcBorders>
            <w:vAlign w:val="center"/>
            <w:hideMark/>
          </w:tcPr>
          <w:p w:rsidR="00C713E6" w:rsidRPr="008A11A4" w:rsidRDefault="00C713E6" w:rsidP="00C704D5">
            <w:pPr>
              <w:jc w:val="center"/>
              <w:rPr>
                <w:b/>
                <w:bCs/>
                <w:sz w:val="20"/>
                <w:szCs w:val="20"/>
              </w:rPr>
            </w:pPr>
            <w:r w:rsidRPr="008A11A4">
              <w:rPr>
                <w:b/>
                <w:bCs/>
                <w:sz w:val="20"/>
                <w:szCs w:val="20"/>
              </w:rPr>
              <w:t>Mato vieneto kaina be pvm</w:t>
            </w:r>
          </w:p>
          <w:p w:rsidR="00C713E6" w:rsidRDefault="00C713E6" w:rsidP="00C704D5">
            <w:pPr>
              <w:jc w:val="center"/>
              <w:rPr>
                <w:b/>
                <w:bCs/>
                <w:sz w:val="20"/>
                <w:szCs w:val="20"/>
              </w:rPr>
            </w:pPr>
            <w:r>
              <w:rPr>
                <w:b/>
                <w:bCs/>
                <w:sz w:val="20"/>
                <w:szCs w:val="20"/>
              </w:rPr>
              <w:t xml:space="preserve">Visos dalys (išskyrus 13 d.): </w:t>
            </w:r>
            <w:r w:rsidRPr="008A11A4">
              <w:rPr>
                <w:b/>
                <w:bCs/>
                <w:sz w:val="20"/>
                <w:szCs w:val="20"/>
              </w:rPr>
              <w:t>5 proc. PVM</w:t>
            </w:r>
            <w:r>
              <w:rPr>
                <w:b/>
                <w:bCs/>
                <w:sz w:val="20"/>
                <w:szCs w:val="20"/>
              </w:rPr>
              <w:t>;</w:t>
            </w:r>
          </w:p>
          <w:p w:rsidR="00C713E6" w:rsidRPr="008A11A4" w:rsidRDefault="00C713E6" w:rsidP="00C704D5">
            <w:pPr>
              <w:jc w:val="center"/>
              <w:rPr>
                <w:b/>
                <w:bCs/>
                <w:sz w:val="20"/>
                <w:szCs w:val="20"/>
              </w:rPr>
            </w:pPr>
            <w:r>
              <w:rPr>
                <w:b/>
                <w:bCs/>
                <w:sz w:val="20"/>
                <w:szCs w:val="20"/>
              </w:rPr>
              <w:t>13 daliai taikoma 21 proc. PVM</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8A11A4" w:rsidRDefault="00C713E6" w:rsidP="00C704D5">
            <w:pPr>
              <w:jc w:val="center"/>
              <w:rPr>
                <w:b/>
                <w:bCs/>
                <w:sz w:val="20"/>
                <w:szCs w:val="20"/>
              </w:rPr>
            </w:pPr>
            <w:r w:rsidRPr="008A11A4">
              <w:rPr>
                <w:b/>
                <w:bCs/>
                <w:sz w:val="20"/>
                <w:szCs w:val="20"/>
              </w:rPr>
              <w:t>KAINA, EUR BE PVM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8A11A4" w:rsidRDefault="00C713E6" w:rsidP="00C704D5">
            <w:pPr>
              <w:jc w:val="center"/>
              <w:rPr>
                <w:sz w:val="20"/>
                <w:szCs w:val="20"/>
              </w:rPr>
            </w:pPr>
            <w:r w:rsidRPr="008A11A4">
              <w:rPr>
                <w:b/>
                <w:bCs/>
                <w:sz w:val="20"/>
                <w:szCs w:val="20"/>
              </w:rPr>
              <w:t>KAINA, EUR SU PVM</w:t>
            </w:r>
          </w:p>
        </w:tc>
      </w:tr>
      <w:tr w:rsidR="00C713E6" w:rsidRPr="003431F9" w:rsidTr="00C713E6">
        <w:trPr>
          <w:trHeight w:val="776"/>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spacing w:after="108"/>
              <w:outlineLvl w:val="1"/>
              <w:rPr>
                <w:b/>
                <w:bCs/>
                <w:sz w:val="20"/>
                <w:szCs w:val="20"/>
              </w:rPr>
            </w:pPr>
            <w:r w:rsidRPr="008A11A4">
              <w:rPr>
                <w:b/>
                <w:bCs/>
                <w:sz w:val="20"/>
                <w:szCs w:val="20"/>
              </w:rPr>
              <w:t>Tracheostominė nosytė suaugusiems.</w:t>
            </w:r>
          </w:p>
          <w:p w:rsidR="00C713E6" w:rsidRPr="008A11A4" w:rsidRDefault="00C713E6" w:rsidP="00C704D5">
            <w:pPr>
              <w:spacing w:after="108"/>
              <w:outlineLvl w:val="1"/>
              <w:rPr>
                <w:b/>
                <w:bCs/>
                <w:color w:val="000000"/>
                <w:sz w:val="20"/>
                <w:szCs w:val="20"/>
                <w:lang w:eastAsia="lt-LT"/>
              </w:rPr>
            </w:pPr>
            <w:r w:rsidRPr="008A11A4">
              <w:rPr>
                <w:sz w:val="20"/>
                <w:szCs w:val="20"/>
              </w:rPr>
              <w:t>Sterili. Siurbimo anga su dangteliu. Integruota lanksti deguonies jungtis.</w:t>
            </w:r>
            <w:r w:rsidRPr="008A11A4">
              <w:rPr>
                <w:noProof/>
                <w:sz w:val="20"/>
                <w:szCs w:val="20"/>
              </w:rPr>
              <w:t xml:space="preserve"> </w:t>
            </w:r>
            <w:r w:rsidRPr="008A11A4">
              <w:rPr>
                <w:noProof/>
                <w:sz w:val="20"/>
                <w:szCs w:val="20"/>
                <w:lang w:eastAsia="lt-LT"/>
              </w:rPr>
              <w:drawing>
                <wp:inline distT="0" distB="0" distL="0" distR="0" wp14:anchorId="1EEE4E2A" wp14:editId="3739630C">
                  <wp:extent cx="450850" cy="387268"/>
                  <wp:effectExtent l="0" t="0" r="6350" b="0"/>
                  <wp:docPr id="1221545687" name="Paveikslėlis 122154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2666" cy="397417"/>
                          </a:xfrm>
                          <a:prstGeom prst="rect">
                            <a:avLst/>
                          </a:prstGeom>
                          <a:noFill/>
                          <a:ln>
                            <a:noFill/>
                          </a:ln>
                        </pic:spPr>
                      </pic:pic>
                    </a:graphicData>
                  </a:graphic>
                </wp:inline>
              </w:drawing>
            </w:r>
            <w:r w:rsidRPr="008A11A4">
              <w:rPr>
                <w:noProof/>
                <w:sz w:val="20"/>
                <w:szCs w:val="20"/>
              </w:rPr>
              <w:t>ar lygiavertė</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1050,00</w:t>
            </w:r>
          </w:p>
        </w:tc>
      </w:tr>
      <w:tr w:rsidR="00C713E6" w:rsidRPr="003431F9"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outlineLvl w:val="1"/>
              <w:rPr>
                <w:b/>
                <w:bCs/>
                <w:noProof/>
                <w:sz w:val="20"/>
                <w:szCs w:val="20"/>
              </w:rPr>
            </w:pPr>
            <w:r w:rsidRPr="008A11A4">
              <w:rPr>
                <w:b/>
                <w:bCs/>
                <w:noProof/>
                <w:sz w:val="20"/>
                <w:szCs w:val="20"/>
              </w:rPr>
              <w:t>Pleuros punkcijos rinkinys.</w:t>
            </w:r>
          </w:p>
          <w:p w:rsidR="00C713E6" w:rsidRPr="008A11A4" w:rsidRDefault="00C713E6" w:rsidP="00C704D5">
            <w:pPr>
              <w:spacing w:after="108"/>
              <w:outlineLvl w:val="1"/>
              <w:rPr>
                <w:noProof/>
                <w:sz w:val="20"/>
                <w:szCs w:val="20"/>
              </w:rPr>
            </w:pPr>
            <w:r w:rsidRPr="008A11A4">
              <w:rPr>
                <w:noProof/>
                <w:sz w:val="20"/>
                <w:szCs w:val="20"/>
                <w:u w:val="single"/>
              </w:rPr>
              <w:t>&gt;</w:t>
            </w:r>
            <w:r w:rsidRPr="008A11A4">
              <w:rPr>
                <w:noProof/>
                <w:sz w:val="20"/>
                <w:szCs w:val="20"/>
              </w:rPr>
              <w:t xml:space="preserve">2000 ml talpa, švirkštas 50 ml (±5 ml), užspaudėjas, vamzdelis </w:t>
            </w:r>
            <w:r w:rsidRPr="008A11A4">
              <w:rPr>
                <w:noProof/>
                <w:sz w:val="20"/>
                <w:szCs w:val="20"/>
                <w:u w:val="single"/>
              </w:rPr>
              <w:t>&gt;</w:t>
            </w:r>
            <w:r w:rsidRPr="008A11A4">
              <w:rPr>
                <w:noProof/>
                <w:sz w:val="20"/>
                <w:szCs w:val="20"/>
              </w:rPr>
              <w:t xml:space="preserve">45 cm, adatos ilgis </w:t>
            </w:r>
            <w:r w:rsidRPr="008A11A4">
              <w:rPr>
                <w:noProof/>
                <w:sz w:val="20"/>
                <w:szCs w:val="20"/>
                <w:u w:val="single"/>
              </w:rPr>
              <w:t>&gt;</w:t>
            </w:r>
            <w:r w:rsidRPr="008A11A4">
              <w:rPr>
                <w:noProof/>
                <w:sz w:val="20"/>
                <w:szCs w:val="20"/>
              </w:rPr>
              <w:t>75 mm, sterilus.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10500,00</w:t>
            </w:r>
          </w:p>
        </w:tc>
      </w:tr>
      <w:tr w:rsidR="00C713E6" w:rsidRPr="00DA1BF3"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outlineLvl w:val="1"/>
              <w:rPr>
                <w:b/>
                <w:bCs/>
                <w:sz w:val="20"/>
                <w:szCs w:val="20"/>
              </w:rPr>
            </w:pPr>
            <w:r w:rsidRPr="008A11A4">
              <w:rPr>
                <w:b/>
                <w:bCs/>
                <w:sz w:val="20"/>
                <w:szCs w:val="20"/>
              </w:rPr>
              <w:t>I – gel vienkartinis viršgerklinis vamzdelis vaikams</w:t>
            </w:r>
          </w:p>
          <w:p w:rsidR="00C713E6" w:rsidRPr="008A11A4" w:rsidRDefault="00C713E6" w:rsidP="00C704D5">
            <w:pPr>
              <w:outlineLvl w:val="1"/>
              <w:rPr>
                <w:sz w:val="20"/>
                <w:szCs w:val="20"/>
              </w:rPr>
            </w:pPr>
            <w:r w:rsidRPr="008A11A4">
              <w:rPr>
                <w:sz w:val="20"/>
                <w:szCs w:val="20"/>
              </w:rPr>
              <w:t>Sterilus. Vienkartinis. Minkštas, permatomas.</w:t>
            </w:r>
          </w:p>
          <w:p w:rsidR="00C713E6" w:rsidRPr="008A11A4" w:rsidRDefault="00C713E6" w:rsidP="00C704D5">
            <w:pPr>
              <w:outlineLvl w:val="1"/>
              <w:rPr>
                <w:sz w:val="20"/>
                <w:szCs w:val="20"/>
              </w:rPr>
            </w:pPr>
            <w:r w:rsidRPr="008A11A4">
              <w:rPr>
                <w:sz w:val="20"/>
                <w:szCs w:val="20"/>
                <w:u w:val="single"/>
              </w:rPr>
              <w:t>&gt;</w:t>
            </w:r>
            <w:r w:rsidRPr="008A11A4">
              <w:rPr>
                <w:sz w:val="20"/>
                <w:szCs w:val="20"/>
              </w:rPr>
              <w:t>4 dydžiai, paciento svoriams nuo 2 kg iki 35 kg</w:t>
            </w:r>
            <w:r>
              <w:rPr>
                <w:sz w:val="20"/>
                <w:szCs w:val="20"/>
              </w:rPr>
              <w:t xml:space="preserve"> (imtinai)</w:t>
            </w:r>
            <w:r w:rsidRPr="008A11A4">
              <w:rPr>
                <w:sz w:val="20"/>
                <w:szCs w:val="20"/>
              </w:rPr>
              <w:t>;</w:t>
            </w:r>
          </w:p>
          <w:p w:rsidR="00C713E6" w:rsidRPr="008A11A4" w:rsidRDefault="00C713E6" w:rsidP="00C704D5">
            <w:pPr>
              <w:outlineLvl w:val="1"/>
              <w:rPr>
                <w:sz w:val="20"/>
                <w:szCs w:val="20"/>
              </w:rPr>
            </w:pPr>
            <w:r w:rsidRPr="008A11A4">
              <w:rPr>
                <w:sz w:val="20"/>
                <w:szCs w:val="20"/>
              </w:rPr>
              <w:t xml:space="preserve">Skrandžio kanalas turi eiti išilgai viršgerklinio vamzdelio – siurbimui, pravesti nosinį skrandžio zondą ir pan. </w:t>
            </w:r>
          </w:p>
          <w:p w:rsidR="00C713E6" w:rsidRPr="008A11A4" w:rsidRDefault="00C713E6" w:rsidP="00C704D5">
            <w:pPr>
              <w:outlineLvl w:val="1"/>
              <w:rPr>
                <w:sz w:val="20"/>
                <w:szCs w:val="20"/>
              </w:rPr>
            </w:pPr>
            <w:r w:rsidRPr="008A11A4">
              <w:rPr>
                <w:sz w:val="20"/>
                <w:szCs w:val="20"/>
              </w:rPr>
              <w:t>Integruoti: burnos ertmės stabilizatorius ir sukandimo blokatorius.</w:t>
            </w:r>
          </w:p>
          <w:p w:rsidR="00C713E6" w:rsidRPr="008A11A4" w:rsidRDefault="00C713E6" w:rsidP="00C704D5">
            <w:pPr>
              <w:outlineLvl w:val="1"/>
              <w:rPr>
                <w:sz w:val="20"/>
                <w:szCs w:val="20"/>
              </w:rPr>
            </w:pPr>
            <w:proofErr w:type="gramStart"/>
            <w:r w:rsidRPr="008A11A4">
              <w:rPr>
                <w:sz w:val="20"/>
                <w:szCs w:val="20"/>
              </w:rPr>
              <w:t>Kaukės  turi</w:t>
            </w:r>
            <w:proofErr w:type="gramEnd"/>
            <w:r w:rsidRPr="008A11A4">
              <w:rPr>
                <w:sz w:val="20"/>
                <w:szCs w:val="20"/>
              </w:rPr>
              <w:t xml:space="preserve"> jungtį 15 mm ±1mm. </w:t>
            </w:r>
          </w:p>
          <w:p w:rsidR="00C713E6" w:rsidRPr="008A11A4" w:rsidRDefault="00C713E6" w:rsidP="00C704D5">
            <w:pPr>
              <w:outlineLvl w:val="1"/>
              <w:rPr>
                <w:b/>
                <w:bCs/>
                <w:sz w:val="20"/>
                <w:szCs w:val="20"/>
              </w:rPr>
            </w:pPr>
            <w:r w:rsidRPr="008A11A4">
              <w:rPr>
                <w:sz w:val="20"/>
                <w:szCs w:val="20"/>
              </w:rPr>
              <w:t>Užrašai ant vamzdelio ryškūs.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500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20,00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10500,00</w:t>
            </w:r>
          </w:p>
        </w:tc>
      </w:tr>
      <w:tr w:rsidR="00C713E6" w:rsidRPr="00DA1BF3"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pStyle w:val="Default"/>
              <w:rPr>
                <w:b/>
                <w:bCs/>
                <w:sz w:val="20"/>
                <w:szCs w:val="20"/>
              </w:rPr>
            </w:pPr>
            <w:r w:rsidRPr="008A11A4">
              <w:rPr>
                <w:b/>
                <w:bCs/>
                <w:sz w:val="20"/>
                <w:szCs w:val="20"/>
              </w:rPr>
              <w:t>Nosies tamponas.</w:t>
            </w:r>
          </w:p>
          <w:p w:rsidR="00C713E6" w:rsidRPr="008A11A4" w:rsidRDefault="00C713E6" w:rsidP="00C704D5">
            <w:pPr>
              <w:pStyle w:val="Default"/>
              <w:rPr>
                <w:sz w:val="20"/>
                <w:szCs w:val="20"/>
              </w:rPr>
            </w:pPr>
            <w:r w:rsidRPr="008A11A4">
              <w:rPr>
                <w:sz w:val="20"/>
                <w:szCs w:val="20"/>
              </w:rPr>
              <w:t>Paskirtis: sugeria kūno skysčius.</w:t>
            </w:r>
          </w:p>
          <w:p w:rsidR="00C713E6" w:rsidRPr="008A11A4" w:rsidRDefault="00C713E6" w:rsidP="00C704D5">
            <w:pPr>
              <w:pStyle w:val="Default"/>
              <w:rPr>
                <w:sz w:val="20"/>
                <w:szCs w:val="20"/>
              </w:rPr>
            </w:pPr>
            <w:r w:rsidRPr="008A11A4">
              <w:rPr>
                <w:sz w:val="20"/>
                <w:szCs w:val="20"/>
              </w:rPr>
              <w:t xml:space="preserve">Su marle ir virvele. </w:t>
            </w:r>
          </w:p>
          <w:p w:rsidR="00C713E6" w:rsidRPr="008A11A4" w:rsidRDefault="00C713E6" w:rsidP="00C704D5">
            <w:pPr>
              <w:pStyle w:val="Default"/>
              <w:rPr>
                <w:sz w:val="20"/>
                <w:szCs w:val="20"/>
              </w:rPr>
            </w:pPr>
            <w:r w:rsidRPr="008A11A4">
              <w:rPr>
                <w:sz w:val="20"/>
                <w:szCs w:val="20"/>
              </w:rPr>
              <w:t>Išmatavimai: ≥ 8 × 2 ×1,5 mm.</w:t>
            </w:r>
            <w:r w:rsidRPr="008A11A4">
              <w:rPr>
                <w:noProof/>
                <w:sz w:val="20"/>
                <w:szCs w:val="20"/>
              </w:rPr>
              <w:drawing>
                <wp:inline distT="0" distB="0" distL="0" distR="0" wp14:anchorId="2F998945" wp14:editId="3033E19A">
                  <wp:extent cx="444500" cy="277713"/>
                  <wp:effectExtent l="0" t="0" r="0" b="8255"/>
                  <wp:docPr id="1056980274" name="Paveikslėlis 105698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0111" cy="287467"/>
                          </a:xfrm>
                          <a:prstGeom prst="rect">
                            <a:avLst/>
                          </a:prstGeom>
                          <a:noFill/>
                          <a:ln>
                            <a:noFill/>
                          </a:ln>
                        </pic:spPr>
                      </pic:pic>
                    </a:graphicData>
                  </a:graphic>
                </wp:inline>
              </w:drawing>
            </w:r>
            <w:r w:rsidRPr="008A11A4">
              <w:rPr>
                <w:sz w:val="20"/>
                <w:szCs w:val="20"/>
              </w:rPr>
              <w:t>ar lygiavertis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6,00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1260,00</w:t>
            </w:r>
          </w:p>
        </w:tc>
      </w:tr>
      <w:tr w:rsidR="00C713E6" w:rsidRPr="00DA1BF3"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rPr>
                <w:b/>
                <w:bCs/>
                <w:sz w:val="20"/>
                <w:szCs w:val="20"/>
              </w:rPr>
            </w:pPr>
            <w:r w:rsidRPr="008A11A4">
              <w:rPr>
                <w:b/>
                <w:bCs/>
                <w:sz w:val="20"/>
                <w:szCs w:val="20"/>
              </w:rPr>
              <w:t xml:space="preserve">Anesteziologinės kaukės </w:t>
            </w:r>
            <w:r w:rsidRPr="008A11A4">
              <w:rPr>
                <w:b/>
                <w:sz w:val="20"/>
                <w:szCs w:val="20"/>
              </w:rPr>
              <w:t>kūdikiams.</w:t>
            </w:r>
            <w:r w:rsidRPr="008A11A4">
              <w:rPr>
                <w:b/>
                <w:bCs/>
                <w:sz w:val="20"/>
                <w:szCs w:val="20"/>
              </w:rPr>
              <w:t xml:space="preserve"> </w:t>
            </w:r>
          </w:p>
          <w:p w:rsidR="00C713E6" w:rsidRPr="008A11A4" w:rsidRDefault="00C713E6" w:rsidP="00C704D5">
            <w:pPr>
              <w:pStyle w:val="Default"/>
              <w:rPr>
                <w:sz w:val="20"/>
                <w:szCs w:val="20"/>
              </w:rPr>
            </w:pPr>
            <w:r w:rsidRPr="008A11A4">
              <w:rPr>
                <w:bCs/>
                <w:sz w:val="20"/>
                <w:szCs w:val="20"/>
              </w:rPr>
              <w:t>Vienkartinės, bus perkami dydžiai</w:t>
            </w:r>
            <w:r w:rsidRPr="008A11A4">
              <w:rPr>
                <w:b/>
                <w:bCs/>
                <w:sz w:val="20"/>
                <w:szCs w:val="20"/>
              </w:rPr>
              <w:t xml:space="preserve"> </w:t>
            </w:r>
            <w:r w:rsidRPr="008A11A4">
              <w:rPr>
                <w:bCs/>
                <w:sz w:val="20"/>
                <w:szCs w:val="20"/>
              </w:rPr>
              <w:t>nuo</w:t>
            </w:r>
            <w:r w:rsidRPr="008A11A4">
              <w:rPr>
                <w:b/>
                <w:bCs/>
                <w:sz w:val="20"/>
                <w:szCs w:val="20"/>
              </w:rPr>
              <w:t xml:space="preserve"> </w:t>
            </w:r>
            <w:r w:rsidRPr="008A11A4">
              <w:rPr>
                <w:sz w:val="20"/>
                <w:szCs w:val="20"/>
              </w:rPr>
              <w:t>Nr. 0 iki Nr. 2.</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200,00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210,00</w:t>
            </w:r>
          </w:p>
        </w:tc>
      </w:tr>
      <w:tr w:rsidR="00C713E6" w:rsidRPr="00DA1BF3"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pStyle w:val="Default"/>
              <w:rPr>
                <w:sz w:val="20"/>
                <w:szCs w:val="20"/>
              </w:rPr>
            </w:pPr>
            <w:r w:rsidRPr="008A11A4">
              <w:rPr>
                <w:b/>
                <w:bCs/>
                <w:sz w:val="20"/>
                <w:szCs w:val="20"/>
              </w:rPr>
              <w:t>Nosies kaniulė</w:t>
            </w:r>
            <w:r w:rsidRPr="008A11A4">
              <w:rPr>
                <w:sz w:val="20"/>
                <w:szCs w:val="20"/>
              </w:rPr>
              <w:t xml:space="preserve">. </w:t>
            </w:r>
          </w:p>
          <w:p w:rsidR="00C713E6" w:rsidRPr="008A11A4" w:rsidRDefault="00C713E6" w:rsidP="00C704D5">
            <w:pPr>
              <w:pStyle w:val="Default"/>
              <w:rPr>
                <w:sz w:val="20"/>
                <w:szCs w:val="20"/>
              </w:rPr>
            </w:pPr>
            <w:r w:rsidRPr="008A11A4">
              <w:rPr>
                <w:sz w:val="20"/>
                <w:szCs w:val="20"/>
              </w:rPr>
              <w:t>Vamzdelis deguoniui nosinis. Suaugusiems.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24000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0,5</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12600,00</w:t>
            </w:r>
          </w:p>
        </w:tc>
      </w:tr>
      <w:tr w:rsidR="00C713E6" w:rsidRPr="00DA1BF3" w:rsidTr="00C713E6">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pStyle w:val="Default"/>
              <w:rPr>
                <w:b/>
                <w:bCs/>
                <w:sz w:val="20"/>
                <w:szCs w:val="20"/>
              </w:rPr>
            </w:pPr>
            <w:r w:rsidRPr="008A11A4">
              <w:rPr>
                <w:b/>
                <w:bCs/>
                <w:sz w:val="20"/>
                <w:szCs w:val="20"/>
              </w:rPr>
              <w:t>Tracheostomijos vamzdelis.</w:t>
            </w:r>
          </w:p>
          <w:p w:rsidR="00C713E6" w:rsidRPr="008A11A4" w:rsidRDefault="00C713E6" w:rsidP="00C704D5">
            <w:pPr>
              <w:pStyle w:val="Default"/>
              <w:rPr>
                <w:sz w:val="20"/>
                <w:szCs w:val="20"/>
              </w:rPr>
            </w:pPr>
            <w:r w:rsidRPr="008A11A4">
              <w:rPr>
                <w:sz w:val="20"/>
                <w:szCs w:val="20"/>
              </w:rPr>
              <w:t>Tracheostominiai vamzdeliai su obturatoriumi, žemo slėgio cilindro formos išpučiama: ≥ 7-8,5mm. Galiojimas: ≥ 12 mėn.</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800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5,00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4000,00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4200,00</w:t>
            </w:r>
          </w:p>
        </w:tc>
      </w:tr>
      <w:tr w:rsidR="00C713E6" w:rsidRPr="00DA1BF3" w:rsidTr="00C713E6">
        <w:trPr>
          <w:trHeight w:val="1129"/>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jc w:val="both"/>
              <w:outlineLvl w:val="0"/>
              <w:rPr>
                <w:b/>
                <w:sz w:val="20"/>
                <w:szCs w:val="20"/>
              </w:rPr>
            </w:pPr>
            <w:r w:rsidRPr="008A11A4">
              <w:rPr>
                <w:b/>
                <w:sz w:val="20"/>
                <w:szCs w:val="20"/>
              </w:rPr>
              <w:t>Kombinuoti kvėpavimo filtrai vaikams (su šilumos ir drėgmės palaikymu).</w:t>
            </w:r>
          </w:p>
          <w:p w:rsidR="00C713E6" w:rsidRPr="008A11A4" w:rsidRDefault="00C713E6" w:rsidP="00C713E6">
            <w:pPr>
              <w:numPr>
                <w:ilvl w:val="0"/>
                <w:numId w:val="40"/>
              </w:numPr>
              <w:jc w:val="both"/>
              <w:rPr>
                <w:sz w:val="20"/>
                <w:szCs w:val="20"/>
              </w:rPr>
            </w:pPr>
            <w:bookmarkStart w:id="1" w:name="_GoBack"/>
            <w:bookmarkEnd w:id="1"/>
            <w:r w:rsidRPr="008A11A4">
              <w:rPr>
                <w:sz w:val="20"/>
                <w:szCs w:val="20"/>
              </w:rPr>
              <w:t>Neturi alerginių savybių (be latekso);</w:t>
            </w:r>
          </w:p>
          <w:p w:rsidR="00C713E6" w:rsidRPr="008A11A4" w:rsidRDefault="00C713E6" w:rsidP="00C713E6">
            <w:pPr>
              <w:numPr>
                <w:ilvl w:val="0"/>
                <w:numId w:val="40"/>
              </w:numPr>
              <w:jc w:val="both"/>
              <w:rPr>
                <w:sz w:val="20"/>
                <w:szCs w:val="20"/>
              </w:rPr>
            </w:pPr>
            <w:r w:rsidRPr="008A11A4">
              <w:rPr>
                <w:sz w:val="20"/>
                <w:szCs w:val="20"/>
              </w:rPr>
              <w:t>Yra Luer Lock tipo jungtis CO</w:t>
            </w:r>
            <w:r w:rsidRPr="008A11A4">
              <w:rPr>
                <w:sz w:val="20"/>
                <w:szCs w:val="20"/>
                <w:vertAlign w:val="subscript"/>
              </w:rPr>
              <w:t>2</w:t>
            </w:r>
            <w:r w:rsidRPr="008A11A4">
              <w:rPr>
                <w:sz w:val="20"/>
                <w:szCs w:val="20"/>
              </w:rPr>
              <w:t xml:space="preserve"> monitorizavimui;</w:t>
            </w:r>
          </w:p>
          <w:p w:rsidR="00C713E6" w:rsidRPr="008A11A4" w:rsidRDefault="00C713E6" w:rsidP="00C713E6">
            <w:pPr>
              <w:numPr>
                <w:ilvl w:val="0"/>
                <w:numId w:val="40"/>
              </w:numPr>
              <w:jc w:val="both"/>
              <w:rPr>
                <w:sz w:val="20"/>
                <w:szCs w:val="20"/>
              </w:rPr>
            </w:pPr>
            <w:r w:rsidRPr="008A11A4">
              <w:rPr>
                <w:sz w:val="20"/>
                <w:szCs w:val="20"/>
              </w:rPr>
              <w:t>Antibakterinės savybės – sulaiko hepatito virusą, TBC lazdelę ir kt. bakterijas (pateikti nepriklausomos laboratorijos testavimo protokolus);</w:t>
            </w:r>
          </w:p>
          <w:p w:rsidR="00C713E6" w:rsidRPr="008A11A4" w:rsidRDefault="00C713E6" w:rsidP="00C713E6">
            <w:pPr>
              <w:numPr>
                <w:ilvl w:val="0"/>
                <w:numId w:val="40"/>
              </w:numPr>
              <w:jc w:val="both"/>
              <w:rPr>
                <w:sz w:val="20"/>
                <w:szCs w:val="20"/>
              </w:rPr>
            </w:pPr>
            <w:r w:rsidRPr="008A11A4">
              <w:rPr>
                <w:sz w:val="20"/>
                <w:szCs w:val="20"/>
              </w:rPr>
              <w:t xml:space="preserve">Efektyvumas </w:t>
            </w:r>
            <w:r w:rsidRPr="008A11A4">
              <w:rPr>
                <w:sz w:val="20"/>
                <w:szCs w:val="20"/>
                <w:u w:val="single"/>
              </w:rPr>
              <w:t>&gt;</w:t>
            </w:r>
            <w:r w:rsidRPr="008A11A4">
              <w:rPr>
                <w:sz w:val="20"/>
                <w:szCs w:val="20"/>
              </w:rPr>
              <w:t>99,99%;</w:t>
            </w:r>
          </w:p>
          <w:p w:rsidR="00C713E6" w:rsidRPr="008A11A4" w:rsidRDefault="00C713E6" w:rsidP="00C704D5">
            <w:pPr>
              <w:jc w:val="both"/>
              <w:outlineLvl w:val="0"/>
              <w:rPr>
                <w:b/>
                <w:sz w:val="20"/>
                <w:szCs w:val="20"/>
              </w:rPr>
            </w:pPr>
            <w:r w:rsidRPr="008A11A4">
              <w:rPr>
                <w:sz w:val="20"/>
                <w:szCs w:val="20"/>
              </w:rPr>
              <w:t xml:space="preserve">Supakuoti po 1 vnt. </w:t>
            </w:r>
            <w:r w:rsidRPr="008A11A4">
              <w:rPr>
                <w:sz w:val="20"/>
                <w:szCs w:val="20"/>
              </w:rPr>
              <w:object w:dxaOrig="2560"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6.05pt" o:ole="">
                  <v:imagedata r:id="rId18" o:title=""/>
                </v:shape>
                <o:OLEObject Type="Embed" ProgID="PBrush" ShapeID="_x0000_i1025" DrawAspect="Content" ObjectID="_1823090321" r:id="rId19"/>
              </w:objec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1,20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1260,00</w:t>
            </w:r>
          </w:p>
        </w:tc>
      </w:tr>
      <w:tr w:rsidR="00C713E6" w:rsidRPr="00DA1BF3" w:rsidTr="00C713E6">
        <w:trPr>
          <w:trHeight w:val="154"/>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outlineLvl w:val="1"/>
              <w:rPr>
                <w:b/>
                <w:bCs/>
                <w:sz w:val="20"/>
                <w:szCs w:val="20"/>
              </w:rPr>
            </w:pPr>
            <w:r w:rsidRPr="008A11A4">
              <w:rPr>
                <w:b/>
                <w:bCs/>
                <w:sz w:val="20"/>
                <w:szCs w:val="20"/>
              </w:rPr>
              <w:t>Laringinė kaukė.</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Sterili;</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Supakuota po 1 vnt.;</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 xml:space="preserve">Dydžiai 7 ir daugiau: nuo </w:t>
            </w:r>
            <w:r w:rsidRPr="008A11A4">
              <w:rPr>
                <w:rFonts w:ascii="Times New Roman" w:hAnsi="Times New Roman"/>
                <w:sz w:val="20"/>
                <w:szCs w:val="20"/>
                <w:u w:val="single"/>
              </w:rPr>
              <w:t>&lt;</w:t>
            </w:r>
            <w:r w:rsidRPr="008A11A4">
              <w:rPr>
                <w:rFonts w:ascii="Times New Roman" w:hAnsi="Times New Roman"/>
                <w:sz w:val="20"/>
                <w:szCs w:val="20"/>
              </w:rPr>
              <w:t xml:space="preserve">5 kg kūdikiams tinkamo iki  </w:t>
            </w:r>
            <w:r w:rsidRPr="008A11A4">
              <w:rPr>
                <w:rFonts w:ascii="Times New Roman" w:hAnsi="Times New Roman"/>
                <w:sz w:val="20"/>
                <w:szCs w:val="20"/>
                <w:u w:val="single"/>
              </w:rPr>
              <w:t>&gt;</w:t>
            </w:r>
            <w:r w:rsidRPr="008A11A4">
              <w:rPr>
                <w:rFonts w:ascii="Times New Roman" w:hAnsi="Times New Roman"/>
                <w:sz w:val="20"/>
                <w:szCs w:val="20"/>
              </w:rPr>
              <w:t>70kg;</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Laringinės kaukės distalinės dalies forma yra klasikinė Braino;</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Kvėpavimo vamzdelis permatomas;</w:t>
            </w:r>
          </w:p>
          <w:p w:rsidR="00C713E6" w:rsidRPr="008A11A4" w:rsidRDefault="00C713E6" w:rsidP="00C713E6">
            <w:pPr>
              <w:pStyle w:val="Sraopastraipa"/>
              <w:numPr>
                <w:ilvl w:val="0"/>
                <w:numId w:val="41"/>
              </w:numPr>
              <w:spacing w:after="0" w:line="240" w:lineRule="auto"/>
              <w:contextualSpacing/>
              <w:outlineLvl w:val="1"/>
              <w:rPr>
                <w:rFonts w:ascii="Times New Roman" w:hAnsi="Times New Roman"/>
                <w:sz w:val="20"/>
                <w:szCs w:val="20"/>
              </w:rPr>
            </w:pPr>
            <w:r w:rsidRPr="008A11A4">
              <w:rPr>
                <w:rFonts w:ascii="Times New Roman" w:hAnsi="Times New Roman"/>
                <w:sz w:val="20"/>
                <w:szCs w:val="20"/>
              </w:rPr>
              <w:t>Užrašai ant vamzdelio ryškūs.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300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6,50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1950,00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2047,50</w:t>
            </w:r>
          </w:p>
        </w:tc>
      </w:tr>
      <w:tr w:rsidR="00C713E6" w:rsidRPr="00DA1BF3" w:rsidTr="00C713E6">
        <w:trPr>
          <w:trHeight w:val="154"/>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pStyle w:val="TableParagraph"/>
              <w:rPr>
                <w:b/>
                <w:sz w:val="20"/>
                <w:szCs w:val="20"/>
              </w:rPr>
            </w:pPr>
            <w:r w:rsidRPr="008A11A4">
              <w:rPr>
                <w:b/>
                <w:bCs/>
                <w:color w:val="000000" w:themeColor="text1"/>
                <w:sz w:val="20"/>
                <w:szCs w:val="20"/>
              </w:rPr>
              <w:t>Ambu tipo maišas naujagimiams, vaikams, suaugusiems.</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200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23,00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4600,00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4830,00</w:t>
            </w:r>
          </w:p>
        </w:tc>
      </w:tr>
      <w:tr w:rsidR="00C713E6" w:rsidRPr="00DA1BF3" w:rsidTr="00C713E6">
        <w:trPr>
          <w:trHeight w:val="154"/>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04D5">
            <w:pPr>
              <w:outlineLvl w:val="1"/>
              <w:rPr>
                <w:b/>
                <w:bCs/>
                <w:sz w:val="20"/>
                <w:szCs w:val="20"/>
              </w:rPr>
            </w:pPr>
            <w:r w:rsidRPr="008A11A4">
              <w:rPr>
                <w:b/>
                <w:bCs/>
                <w:sz w:val="20"/>
                <w:szCs w:val="20"/>
              </w:rPr>
              <w:t>Kompaktinė kvėpavimo sistema vaikams su atšaka ir rezerviniu maišu.</w:t>
            </w:r>
          </w:p>
          <w:p w:rsidR="00C713E6" w:rsidRPr="008A11A4" w:rsidRDefault="00C713E6" w:rsidP="00C713E6">
            <w:pPr>
              <w:numPr>
                <w:ilvl w:val="0"/>
                <w:numId w:val="36"/>
              </w:numPr>
              <w:jc w:val="both"/>
              <w:rPr>
                <w:sz w:val="20"/>
                <w:szCs w:val="20"/>
              </w:rPr>
            </w:pPr>
            <w:r w:rsidRPr="008A11A4">
              <w:rPr>
                <w:sz w:val="20"/>
                <w:szCs w:val="20"/>
              </w:rPr>
              <w:t>Turi CE ženklinimą.</w:t>
            </w:r>
          </w:p>
          <w:p w:rsidR="00C713E6" w:rsidRPr="008A11A4" w:rsidRDefault="00C713E6" w:rsidP="00C713E6">
            <w:pPr>
              <w:numPr>
                <w:ilvl w:val="0"/>
                <w:numId w:val="36"/>
              </w:numPr>
              <w:jc w:val="both"/>
              <w:rPr>
                <w:sz w:val="20"/>
                <w:szCs w:val="20"/>
              </w:rPr>
            </w:pPr>
            <w:r w:rsidRPr="008A11A4">
              <w:rPr>
                <w:sz w:val="20"/>
                <w:szCs w:val="20"/>
              </w:rPr>
              <w:t>Gaminio sudėtyje nėra latekso.</w:t>
            </w:r>
          </w:p>
          <w:p w:rsidR="00C713E6" w:rsidRPr="008A11A4" w:rsidRDefault="00C713E6" w:rsidP="00C713E6">
            <w:pPr>
              <w:numPr>
                <w:ilvl w:val="0"/>
                <w:numId w:val="36"/>
              </w:numPr>
              <w:jc w:val="both"/>
              <w:rPr>
                <w:sz w:val="20"/>
                <w:szCs w:val="20"/>
              </w:rPr>
            </w:pPr>
            <w:r w:rsidRPr="008A11A4">
              <w:rPr>
                <w:sz w:val="20"/>
                <w:szCs w:val="20"/>
              </w:rPr>
              <w:t xml:space="preserve">Ilgis ištemptos </w:t>
            </w:r>
            <w:r w:rsidRPr="008A11A4">
              <w:rPr>
                <w:sz w:val="20"/>
                <w:szCs w:val="20"/>
                <w:u w:val="single"/>
              </w:rPr>
              <w:t>&gt;</w:t>
            </w:r>
            <w:r w:rsidRPr="008A11A4">
              <w:rPr>
                <w:sz w:val="20"/>
                <w:szCs w:val="20"/>
              </w:rPr>
              <w:t>1</w:t>
            </w:r>
            <w:proofErr w:type="gramStart"/>
            <w:r w:rsidRPr="008A11A4">
              <w:rPr>
                <w:sz w:val="20"/>
                <w:szCs w:val="20"/>
              </w:rPr>
              <w:t>,8</w:t>
            </w:r>
            <w:proofErr w:type="gramEnd"/>
            <w:r w:rsidRPr="008A11A4">
              <w:rPr>
                <w:sz w:val="20"/>
                <w:szCs w:val="20"/>
              </w:rPr>
              <w:t xml:space="preserve"> m.</w:t>
            </w:r>
          </w:p>
          <w:p w:rsidR="00C713E6" w:rsidRPr="008A11A4" w:rsidRDefault="00C713E6" w:rsidP="00C713E6">
            <w:pPr>
              <w:numPr>
                <w:ilvl w:val="0"/>
                <w:numId w:val="36"/>
              </w:numPr>
              <w:jc w:val="both"/>
              <w:rPr>
                <w:sz w:val="20"/>
                <w:szCs w:val="20"/>
              </w:rPr>
            </w:pPr>
            <w:r w:rsidRPr="008A11A4">
              <w:rPr>
                <w:sz w:val="20"/>
                <w:szCs w:val="20"/>
              </w:rPr>
              <w:t>Skersmuo 15 mm (± 1 mm).</w:t>
            </w:r>
          </w:p>
          <w:p w:rsidR="00C713E6" w:rsidRPr="008A11A4" w:rsidRDefault="00C713E6" w:rsidP="00C713E6">
            <w:pPr>
              <w:numPr>
                <w:ilvl w:val="0"/>
                <w:numId w:val="36"/>
              </w:numPr>
              <w:jc w:val="both"/>
              <w:rPr>
                <w:sz w:val="20"/>
                <w:szCs w:val="20"/>
              </w:rPr>
            </w:pPr>
            <w:r w:rsidRPr="008A11A4">
              <w:rPr>
                <w:sz w:val="20"/>
                <w:szCs w:val="20"/>
              </w:rPr>
              <w:t>Komplektą sudaro:</w:t>
            </w:r>
          </w:p>
          <w:p w:rsidR="00C713E6" w:rsidRPr="008A11A4" w:rsidRDefault="00C713E6" w:rsidP="00C713E6">
            <w:pPr>
              <w:numPr>
                <w:ilvl w:val="1"/>
                <w:numId w:val="37"/>
              </w:numPr>
              <w:jc w:val="both"/>
              <w:rPr>
                <w:sz w:val="20"/>
                <w:szCs w:val="20"/>
              </w:rPr>
            </w:pPr>
            <w:r w:rsidRPr="008A11A4">
              <w:rPr>
                <w:sz w:val="20"/>
                <w:szCs w:val="20"/>
              </w:rPr>
              <w:t>2 vamzdžiai, sujungti Y formos;</w:t>
            </w:r>
          </w:p>
          <w:p w:rsidR="00C713E6" w:rsidRPr="008A11A4" w:rsidRDefault="00C713E6" w:rsidP="00C713E6">
            <w:pPr>
              <w:numPr>
                <w:ilvl w:val="1"/>
                <w:numId w:val="37"/>
              </w:numPr>
              <w:jc w:val="both"/>
              <w:rPr>
                <w:sz w:val="20"/>
                <w:szCs w:val="20"/>
              </w:rPr>
            </w:pPr>
            <w:proofErr w:type="gramStart"/>
            <w:r w:rsidRPr="008A11A4">
              <w:rPr>
                <w:sz w:val="20"/>
                <w:szCs w:val="20"/>
              </w:rPr>
              <w:t>alkūninė</w:t>
            </w:r>
            <w:proofErr w:type="gramEnd"/>
            <w:r w:rsidRPr="008A11A4">
              <w:rPr>
                <w:sz w:val="20"/>
                <w:szCs w:val="20"/>
              </w:rPr>
              <w:t xml:space="preserve"> jungtis; su Luer Lock anga.</w:t>
            </w:r>
          </w:p>
          <w:p w:rsidR="00C713E6" w:rsidRPr="008A11A4" w:rsidRDefault="00C713E6" w:rsidP="00C713E6">
            <w:pPr>
              <w:numPr>
                <w:ilvl w:val="1"/>
                <w:numId w:val="37"/>
              </w:numPr>
              <w:shd w:val="clear" w:color="auto" w:fill="FFFFFF"/>
              <w:jc w:val="both"/>
              <w:rPr>
                <w:sz w:val="20"/>
                <w:szCs w:val="20"/>
              </w:rPr>
            </w:pPr>
            <w:proofErr w:type="gramStart"/>
            <w:r w:rsidRPr="008A11A4">
              <w:rPr>
                <w:sz w:val="20"/>
                <w:szCs w:val="20"/>
              </w:rPr>
              <w:t>papildoma</w:t>
            </w:r>
            <w:proofErr w:type="gramEnd"/>
            <w:r w:rsidRPr="008A11A4">
              <w:rPr>
                <w:sz w:val="20"/>
                <w:szCs w:val="20"/>
              </w:rPr>
              <w:t xml:space="preserve"> atšaka.</w:t>
            </w:r>
          </w:p>
          <w:p w:rsidR="00C713E6" w:rsidRPr="008A11A4" w:rsidRDefault="00C713E6" w:rsidP="00C713E6">
            <w:pPr>
              <w:numPr>
                <w:ilvl w:val="1"/>
                <w:numId w:val="37"/>
              </w:numPr>
              <w:jc w:val="both"/>
              <w:rPr>
                <w:sz w:val="20"/>
                <w:szCs w:val="20"/>
              </w:rPr>
            </w:pPr>
            <w:r w:rsidRPr="008A11A4">
              <w:rPr>
                <w:sz w:val="20"/>
                <w:szCs w:val="20"/>
              </w:rPr>
              <w:t>rezervinis maišas be latekso;</w:t>
            </w:r>
          </w:p>
          <w:p w:rsidR="00C713E6" w:rsidRPr="008A11A4" w:rsidRDefault="00C713E6" w:rsidP="00C713E6">
            <w:pPr>
              <w:numPr>
                <w:ilvl w:val="1"/>
                <w:numId w:val="37"/>
              </w:numPr>
              <w:jc w:val="both"/>
              <w:rPr>
                <w:sz w:val="20"/>
                <w:szCs w:val="20"/>
              </w:rPr>
            </w:pPr>
            <w:proofErr w:type="gramStart"/>
            <w:r w:rsidRPr="008A11A4">
              <w:rPr>
                <w:sz w:val="20"/>
                <w:szCs w:val="20"/>
              </w:rPr>
              <w:t>papildoma</w:t>
            </w:r>
            <w:proofErr w:type="gramEnd"/>
            <w:r w:rsidRPr="008A11A4">
              <w:rPr>
                <w:sz w:val="20"/>
                <w:szCs w:val="20"/>
              </w:rPr>
              <w:t xml:space="preserve"> jungtelė rezervinio maišo pajungimui su kūginėmis jungtimis.</w:t>
            </w:r>
          </w:p>
          <w:p w:rsidR="00C713E6" w:rsidRPr="008A11A4" w:rsidRDefault="00C713E6" w:rsidP="00C713E6">
            <w:pPr>
              <w:numPr>
                <w:ilvl w:val="0"/>
                <w:numId w:val="42"/>
              </w:numPr>
              <w:jc w:val="both"/>
              <w:rPr>
                <w:sz w:val="20"/>
                <w:szCs w:val="20"/>
              </w:rPr>
            </w:pPr>
            <w:r w:rsidRPr="008A11A4">
              <w:rPr>
                <w:sz w:val="20"/>
                <w:szCs w:val="20"/>
              </w:rPr>
              <w:t>Y jungties skersmuo 15 mm (± 1 mm).</w:t>
            </w:r>
          </w:p>
          <w:p w:rsidR="00C713E6" w:rsidRPr="008A11A4" w:rsidRDefault="00C713E6" w:rsidP="00C713E6">
            <w:pPr>
              <w:numPr>
                <w:ilvl w:val="0"/>
                <w:numId w:val="42"/>
              </w:numPr>
              <w:jc w:val="both"/>
              <w:rPr>
                <w:sz w:val="20"/>
                <w:szCs w:val="20"/>
              </w:rPr>
            </w:pPr>
            <w:r w:rsidRPr="008A11A4">
              <w:rPr>
                <w:sz w:val="20"/>
                <w:szCs w:val="20"/>
              </w:rPr>
              <w:t>Y jungtis be papildomų angų.</w:t>
            </w:r>
          </w:p>
          <w:p w:rsidR="00C713E6" w:rsidRPr="008A11A4" w:rsidRDefault="00C713E6" w:rsidP="00C713E6">
            <w:pPr>
              <w:numPr>
                <w:ilvl w:val="0"/>
                <w:numId w:val="42"/>
              </w:numPr>
              <w:jc w:val="both"/>
              <w:rPr>
                <w:sz w:val="20"/>
                <w:szCs w:val="20"/>
              </w:rPr>
            </w:pPr>
            <w:r w:rsidRPr="008A11A4">
              <w:rPr>
                <w:sz w:val="20"/>
                <w:szCs w:val="20"/>
              </w:rPr>
              <w:t>Sistemos jungtys kūginės.</w:t>
            </w:r>
          </w:p>
          <w:p w:rsidR="00C713E6" w:rsidRPr="008A11A4" w:rsidRDefault="00C713E6" w:rsidP="00C713E6">
            <w:pPr>
              <w:numPr>
                <w:ilvl w:val="0"/>
                <w:numId w:val="42"/>
              </w:numPr>
              <w:jc w:val="both"/>
              <w:rPr>
                <w:sz w:val="20"/>
                <w:szCs w:val="20"/>
              </w:rPr>
            </w:pPr>
            <w:r w:rsidRPr="008A11A4">
              <w:rPr>
                <w:sz w:val="20"/>
                <w:szCs w:val="20"/>
              </w:rPr>
              <w:t>Papildomos atšakos jungtys kūginės.</w:t>
            </w:r>
          </w:p>
          <w:p w:rsidR="00C713E6" w:rsidRPr="008A11A4" w:rsidRDefault="00C713E6" w:rsidP="00C713E6">
            <w:pPr>
              <w:numPr>
                <w:ilvl w:val="0"/>
                <w:numId w:val="42"/>
              </w:numPr>
              <w:jc w:val="both"/>
              <w:rPr>
                <w:sz w:val="20"/>
                <w:szCs w:val="20"/>
              </w:rPr>
            </w:pPr>
            <w:r w:rsidRPr="008A11A4">
              <w:rPr>
                <w:sz w:val="20"/>
                <w:szCs w:val="20"/>
              </w:rPr>
              <w:t>Rezervinio maišo pajungimas su apsaugėle, neleidžiančia maišui sulipti.</w:t>
            </w:r>
          </w:p>
          <w:p w:rsidR="00C713E6" w:rsidRPr="008A11A4" w:rsidRDefault="00C713E6" w:rsidP="00C713E6">
            <w:pPr>
              <w:numPr>
                <w:ilvl w:val="0"/>
                <w:numId w:val="42"/>
              </w:numPr>
              <w:jc w:val="both"/>
              <w:rPr>
                <w:sz w:val="20"/>
                <w:szCs w:val="20"/>
              </w:rPr>
            </w:pPr>
            <w:r w:rsidRPr="008A11A4">
              <w:rPr>
                <w:sz w:val="20"/>
                <w:szCs w:val="20"/>
              </w:rPr>
              <w:t>Supakuotos po 1 komplektą.</w:t>
            </w:r>
          </w:p>
          <w:p w:rsidR="00C713E6" w:rsidRPr="008A11A4" w:rsidRDefault="00C713E6" w:rsidP="00C704D5">
            <w:pPr>
              <w:pStyle w:val="TableParagraph"/>
              <w:rPr>
                <w:b/>
                <w:bCs/>
                <w:color w:val="000000" w:themeColor="text1"/>
                <w:sz w:val="20"/>
                <w:szCs w:val="20"/>
              </w:rPr>
            </w:pPr>
            <w:r w:rsidRPr="008A11A4">
              <w:rPr>
                <w:sz w:val="20"/>
                <w:szCs w:val="20"/>
              </w:rPr>
              <w:object w:dxaOrig="5610" w:dyaOrig="2240">
                <v:shape id="_x0000_i1026" type="#_x0000_t75" style="width:137.35pt;height:54.85pt" o:ole="">
                  <v:imagedata r:id="rId20" o:title=""/>
                </v:shape>
                <o:OLEObject Type="Embed" ProgID="PBrush" ShapeID="_x0000_i1026" DrawAspect="Content" ObjectID="_1823090322" r:id="rId21"/>
              </w:objec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1000 kompl.</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8,00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8000,00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8400,00</w:t>
            </w:r>
          </w:p>
        </w:tc>
      </w:tr>
      <w:tr w:rsidR="00C713E6" w:rsidRPr="008A11A4" w:rsidTr="00C713E6">
        <w:trPr>
          <w:trHeight w:val="154"/>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8A11A4" w:rsidRDefault="00C713E6" w:rsidP="00C713E6">
            <w:pPr>
              <w:pStyle w:val="Antrat7"/>
              <w:numPr>
                <w:ilvl w:val="0"/>
                <w:numId w:val="0"/>
              </w:numPr>
              <w:outlineLvl w:val="6"/>
              <w:rPr>
                <w:b/>
                <w:bCs/>
                <w:iCs/>
                <w:sz w:val="20"/>
              </w:rPr>
            </w:pPr>
            <w:r w:rsidRPr="008A11A4">
              <w:rPr>
                <w:b/>
                <w:bCs/>
                <w:iCs/>
                <w:sz w:val="20"/>
              </w:rPr>
              <w:t>Kompaktinė kvėpavimo sistema suaugusiems.</w:t>
            </w:r>
          </w:p>
          <w:p w:rsidR="00C713E6" w:rsidRPr="008A11A4" w:rsidRDefault="00C713E6" w:rsidP="00C713E6">
            <w:pPr>
              <w:numPr>
                <w:ilvl w:val="0"/>
                <w:numId w:val="43"/>
              </w:numPr>
              <w:jc w:val="both"/>
              <w:rPr>
                <w:sz w:val="20"/>
                <w:szCs w:val="20"/>
              </w:rPr>
            </w:pPr>
            <w:r w:rsidRPr="008A11A4">
              <w:rPr>
                <w:sz w:val="20"/>
                <w:szCs w:val="20"/>
              </w:rPr>
              <w:t>Tinka narkozės ir DPV aparatams;</w:t>
            </w:r>
          </w:p>
          <w:p w:rsidR="00C713E6" w:rsidRPr="008A11A4" w:rsidRDefault="00C713E6" w:rsidP="00C713E6">
            <w:pPr>
              <w:numPr>
                <w:ilvl w:val="0"/>
                <w:numId w:val="43"/>
              </w:numPr>
              <w:jc w:val="both"/>
              <w:rPr>
                <w:sz w:val="20"/>
                <w:szCs w:val="20"/>
              </w:rPr>
            </w:pPr>
            <w:r w:rsidRPr="008A11A4">
              <w:rPr>
                <w:sz w:val="20"/>
                <w:szCs w:val="20"/>
              </w:rPr>
              <w:t>Gofruota;</w:t>
            </w:r>
          </w:p>
          <w:p w:rsidR="00C713E6" w:rsidRPr="008A11A4" w:rsidRDefault="00C713E6" w:rsidP="00C713E6">
            <w:pPr>
              <w:numPr>
                <w:ilvl w:val="0"/>
                <w:numId w:val="43"/>
              </w:numPr>
              <w:jc w:val="both"/>
              <w:rPr>
                <w:sz w:val="20"/>
                <w:szCs w:val="20"/>
              </w:rPr>
            </w:pPr>
            <w:r w:rsidRPr="008A11A4">
              <w:rPr>
                <w:sz w:val="20"/>
                <w:szCs w:val="20"/>
              </w:rPr>
              <w:t>Turi CE ženklinimą;</w:t>
            </w:r>
          </w:p>
          <w:p w:rsidR="00C713E6" w:rsidRPr="008A11A4" w:rsidRDefault="00C713E6" w:rsidP="00C713E6">
            <w:pPr>
              <w:numPr>
                <w:ilvl w:val="0"/>
                <w:numId w:val="43"/>
              </w:numPr>
              <w:jc w:val="both"/>
              <w:rPr>
                <w:sz w:val="20"/>
                <w:szCs w:val="20"/>
              </w:rPr>
            </w:pPr>
            <w:r w:rsidRPr="008A11A4">
              <w:rPr>
                <w:sz w:val="20"/>
                <w:szCs w:val="20"/>
              </w:rPr>
              <w:t xml:space="preserve">Gaminio sudėtyje nėra latekso; </w:t>
            </w:r>
          </w:p>
          <w:p w:rsidR="00C713E6" w:rsidRPr="008A11A4" w:rsidRDefault="00C713E6" w:rsidP="00C713E6">
            <w:pPr>
              <w:numPr>
                <w:ilvl w:val="0"/>
                <w:numId w:val="43"/>
              </w:numPr>
              <w:jc w:val="both"/>
              <w:rPr>
                <w:sz w:val="20"/>
                <w:szCs w:val="20"/>
              </w:rPr>
            </w:pPr>
            <w:r w:rsidRPr="008A11A4">
              <w:rPr>
                <w:sz w:val="20"/>
                <w:szCs w:val="20"/>
              </w:rPr>
              <w:t>Ilgis: ištempus ne mažiau 1,5 m;</w:t>
            </w:r>
          </w:p>
          <w:p w:rsidR="00C713E6" w:rsidRPr="008A11A4" w:rsidRDefault="00C713E6" w:rsidP="00C713E6">
            <w:pPr>
              <w:numPr>
                <w:ilvl w:val="1"/>
                <w:numId w:val="38"/>
              </w:numPr>
              <w:jc w:val="both"/>
              <w:rPr>
                <w:sz w:val="20"/>
                <w:szCs w:val="20"/>
              </w:rPr>
            </w:pPr>
            <w:r w:rsidRPr="008A11A4">
              <w:rPr>
                <w:sz w:val="20"/>
                <w:szCs w:val="20"/>
              </w:rPr>
              <w:t>Rinkinį sudaro: 2 vamzdžiai, sujungti Y formos jungtimi;</w:t>
            </w:r>
          </w:p>
          <w:p w:rsidR="00C713E6" w:rsidRPr="008A11A4" w:rsidRDefault="00C713E6" w:rsidP="00C713E6">
            <w:pPr>
              <w:numPr>
                <w:ilvl w:val="1"/>
                <w:numId w:val="38"/>
              </w:numPr>
              <w:jc w:val="both"/>
              <w:rPr>
                <w:sz w:val="20"/>
                <w:szCs w:val="20"/>
              </w:rPr>
            </w:pPr>
            <w:r w:rsidRPr="008A11A4">
              <w:rPr>
                <w:sz w:val="20"/>
                <w:szCs w:val="20"/>
              </w:rPr>
              <w:t>alkūninė jungtis su Luer Lock anga skirta CO2 matavimo linijos pajungimui;</w:t>
            </w:r>
          </w:p>
          <w:p w:rsidR="00C713E6" w:rsidRPr="008A11A4" w:rsidRDefault="00C713E6" w:rsidP="00C713E6">
            <w:pPr>
              <w:numPr>
                <w:ilvl w:val="1"/>
                <w:numId w:val="38"/>
              </w:numPr>
              <w:jc w:val="both"/>
              <w:rPr>
                <w:sz w:val="20"/>
                <w:szCs w:val="20"/>
              </w:rPr>
            </w:pPr>
            <w:r w:rsidRPr="008A11A4">
              <w:rPr>
                <w:sz w:val="20"/>
                <w:szCs w:val="20"/>
              </w:rPr>
              <w:t>Luer Lock anga su fiksuotu dangteliu;</w:t>
            </w:r>
          </w:p>
          <w:p w:rsidR="00C713E6" w:rsidRPr="008A11A4" w:rsidRDefault="00C713E6" w:rsidP="00C713E6">
            <w:pPr>
              <w:numPr>
                <w:ilvl w:val="1"/>
                <w:numId w:val="38"/>
              </w:numPr>
              <w:jc w:val="both"/>
              <w:rPr>
                <w:sz w:val="20"/>
                <w:szCs w:val="20"/>
              </w:rPr>
            </w:pPr>
            <w:r w:rsidRPr="008A11A4">
              <w:rPr>
                <w:sz w:val="20"/>
                <w:szCs w:val="20"/>
              </w:rPr>
              <w:t>papildoma atšaka, kurios ilgis gali būti reguliuojamas;</w:t>
            </w:r>
          </w:p>
          <w:p w:rsidR="00C713E6" w:rsidRPr="008A11A4" w:rsidRDefault="00C713E6" w:rsidP="00C713E6">
            <w:pPr>
              <w:numPr>
                <w:ilvl w:val="1"/>
                <w:numId w:val="38"/>
              </w:numPr>
              <w:jc w:val="both"/>
              <w:rPr>
                <w:sz w:val="20"/>
                <w:szCs w:val="20"/>
              </w:rPr>
            </w:pPr>
            <w:r w:rsidRPr="008A11A4">
              <w:rPr>
                <w:sz w:val="20"/>
                <w:szCs w:val="20"/>
                <w:u w:val="single"/>
              </w:rPr>
              <w:t>&gt;</w:t>
            </w:r>
            <w:r w:rsidRPr="008A11A4">
              <w:rPr>
                <w:sz w:val="20"/>
                <w:szCs w:val="20"/>
              </w:rPr>
              <w:t>1,9 l  kvėpavimo maišas;</w:t>
            </w:r>
          </w:p>
          <w:p w:rsidR="00C713E6" w:rsidRPr="008A11A4" w:rsidRDefault="00C713E6" w:rsidP="00C713E6">
            <w:pPr>
              <w:numPr>
                <w:ilvl w:val="1"/>
                <w:numId w:val="38"/>
              </w:numPr>
              <w:jc w:val="both"/>
              <w:rPr>
                <w:sz w:val="20"/>
                <w:szCs w:val="20"/>
              </w:rPr>
            </w:pPr>
            <w:r w:rsidRPr="008A11A4">
              <w:rPr>
                <w:sz w:val="20"/>
                <w:szCs w:val="20"/>
              </w:rPr>
              <w:t>papildoma jungtis 22M/22M;</w:t>
            </w:r>
          </w:p>
          <w:p w:rsidR="00C713E6" w:rsidRPr="008A11A4" w:rsidRDefault="00C713E6" w:rsidP="00C713E6">
            <w:pPr>
              <w:numPr>
                <w:ilvl w:val="0"/>
                <w:numId w:val="39"/>
              </w:numPr>
              <w:jc w:val="both"/>
              <w:rPr>
                <w:sz w:val="20"/>
                <w:szCs w:val="20"/>
              </w:rPr>
            </w:pPr>
            <w:r w:rsidRPr="008A11A4">
              <w:rPr>
                <w:sz w:val="20"/>
                <w:szCs w:val="20"/>
              </w:rPr>
              <w:t>Sistemos jungtys kūginės;</w:t>
            </w:r>
          </w:p>
          <w:p w:rsidR="00C713E6" w:rsidRPr="008A11A4" w:rsidRDefault="00C713E6" w:rsidP="00C713E6">
            <w:pPr>
              <w:numPr>
                <w:ilvl w:val="0"/>
                <w:numId w:val="39"/>
              </w:numPr>
              <w:jc w:val="both"/>
              <w:rPr>
                <w:color w:val="FF0000"/>
                <w:sz w:val="20"/>
                <w:szCs w:val="20"/>
              </w:rPr>
            </w:pPr>
            <w:r w:rsidRPr="008A11A4">
              <w:rPr>
                <w:sz w:val="20"/>
                <w:szCs w:val="20"/>
              </w:rPr>
              <w:t>Supakuota po 1 kompl.</w:t>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2000 kompl.</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8A11A4" w:rsidRDefault="00C713E6" w:rsidP="00C704D5">
            <w:pPr>
              <w:jc w:val="center"/>
              <w:rPr>
                <w:sz w:val="20"/>
                <w:szCs w:val="20"/>
              </w:rPr>
            </w:pPr>
            <w:r w:rsidRPr="008A11A4">
              <w:rPr>
                <w:sz w:val="20"/>
                <w:szCs w:val="20"/>
              </w:rPr>
              <w:t>5,00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F766EB" w:rsidRDefault="00C713E6" w:rsidP="00C704D5">
            <w:pPr>
              <w:jc w:val="center"/>
              <w:rPr>
                <w:color w:val="000000"/>
                <w:sz w:val="20"/>
                <w:szCs w:val="20"/>
                <w:lang w:eastAsia="lt-LT"/>
              </w:rPr>
            </w:pPr>
            <w:r w:rsidRPr="00F766EB">
              <w:rPr>
                <w:color w:val="000000"/>
                <w:sz w:val="20"/>
                <w:szCs w:val="20"/>
                <w:lang w:eastAsia="lt-LT"/>
              </w:rPr>
              <w:t>10500,00</w:t>
            </w:r>
          </w:p>
        </w:tc>
      </w:tr>
      <w:tr w:rsidR="00C713E6" w:rsidRPr="006C1123" w:rsidTr="00C713E6">
        <w:trPr>
          <w:trHeight w:val="154"/>
        </w:trPr>
        <w:tc>
          <w:tcPr>
            <w:tcW w:w="993" w:type="dxa"/>
            <w:tcBorders>
              <w:top w:val="single" w:sz="4" w:space="0" w:color="auto"/>
              <w:left w:val="single" w:sz="4" w:space="0" w:color="auto"/>
              <w:bottom w:val="single" w:sz="4" w:space="0" w:color="auto"/>
              <w:right w:val="single" w:sz="4" w:space="0" w:color="auto"/>
            </w:tcBorders>
          </w:tcPr>
          <w:p w:rsidR="00C713E6" w:rsidRPr="005D7B09" w:rsidRDefault="00C713E6" w:rsidP="00C713E6">
            <w:pPr>
              <w:pStyle w:val="Sraopastraipa"/>
              <w:numPr>
                <w:ilvl w:val="0"/>
                <w:numId w:val="44"/>
              </w:numPr>
              <w:spacing w:after="0" w:line="240" w:lineRule="auto"/>
              <w:contextualSpacing/>
              <w:jc w:val="center"/>
              <w:rPr>
                <w:rFonts w:ascii="Times New Roman" w:hAnsi="Times New Roman"/>
                <w:sz w:val="20"/>
                <w:szCs w:val="20"/>
              </w:rPr>
            </w:pPr>
          </w:p>
        </w:tc>
        <w:tc>
          <w:tcPr>
            <w:tcW w:w="7058" w:type="dxa"/>
            <w:tcBorders>
              <w:top w:val="single" w:sz="4" w:space="0" w:color="auto"/>
              <w:left w:val="single" w:sz="4" w:space="0" w:color="auto"/>
              <w:bottom w:val="single" w:sz="4" w:space="0" w:color="auto"/>
              <w:right w:val="single" w:sz="4" w:space="0" w:color="auto"/>
            </w:tcBorders>
          </w:tcPr>
          <w:p w:rsidR="00C713E6" w:rsidRPr="006C1123" w:rsidRDefault="00C713E6" w:rsidP="00C704D5">
            <w:pPr>
              <w:pStyle w:val="TableParagraph"/>
              <w:rPr>
                <w:sz w:val="20"/>
                <w:szCs w:val="20"/>
              </w:rPr>
            </w:pPr>
            <w:r w:rsidRPr="006C1123">
              <w:rPr>
                <w:b/>
                <w:sz w:val="20"/>
                <w:szCs w:val="20"/>
              </w:rPr>
              <w:t xml:space="preserve">Filtras </w:t>
            </w:r>
            <w:r w:rsidRPr="006C1123">
              <w:rPr>
                <w:sz w:val="20"/>
                <w:szCs w:val="20"/>
              </w:rPr>
              <w:t>ištisinei</w:t>
            </w:r>
            <w:r w:rsidRPr="006C1123">
              <w:rPr>
                <w:spacing w:val="-2"/>
                <w:sz w:val="20"/>
                <w:szCs w:val="20"/>
              </w:rPr>
              <w:t xml:space="preserve"> </w:t>
            </w:r>
            <w:r w:rsidRPr="006C1123">
              <w:rPr>
                <w:sz w:val="20"/>
                <w:szCs w:val="20"/>
              </w:rPr>
              <w:t>veido</w:t>
            </w:r>
            <w:r w:rsidRPr="006C1123">
              <w:rPr>
                <w:spacing w:val="-1"/>
                <w:sz w:val="20"/>
                <w:szCs w:val="20"/>
              </w:rPr>
              <w:t xml:space="preserve"> </w:t>
            </w:r>
            <w:r w:rsidRPr="006C1123">
              <w:rPr>
                <w:sz w:val="20"/>
                <w:szCs w:val="20"/>
              </w:rPr>
              <w:t>kaukei / dujokaukei.</w:t>
            </w:r>
            <w:r w:rsidRPr="006C1123">
              <w:rPr>
                <w:spacing w:val="-2"/>
                <w:sz w:val="20"/>
                <w:szCs w:val="20"/>
              </w:rPr>
              <w:t xml:space="preserve"> </w:t>
            </w:r>
            <w:r w:rsidRPr="006C1123">
              <w:rPr>
                <w:sz w:val="20"/>
                <w:szCs w:val="20"/>
              </w:rPr>
              <w:t>Filtras</w:t>
            </w:r>
            <w:r w:rsidRPr="006C1123">
              <w:rPr>
                <w:spacing w:val="-2"/>
                <w:sz w:val="20"/>
                <w:szCs w:val="20"/>
              </w:rPr>
              <w:t xml:space="preserve"> </w:t>
            </w:r>
            <w:r w:rsidRPr="006C1123">
              <w:rPr>
                <w:sz w:val="20"/>
                <w:szCs w:val="20"/>
              </w:rPr>
              <w:t>atitinka</w:t>
            </w:r>
            <w:r w:rsidRPr="006C1123">
              <w:rPr>
                <w:spacing w:val="-3"/>
                <w:sz w:val="20"/>
                <w:szCs w:val="20"/>
              </w:rPr>
              <w:t xml:space="preserve"> </w:t>
            </w:r>
            <w:r w:rsidRPr="006C1123">
              <w:rPr>
                <w:sz w:val="20"/>
                <w:szCs w:val="20"/>
              </w:rPr>
              <w:t>ne</w:t>
            </w:r>
            <w:r w:rsidRPr="006C1123">
              <w:rPr>
                <w:spacing w:val="-57"/>
                <w:sz w:val="20"/>
                <w:szCs w:val="20"/>
              </w:rPr>
              <w:t xml:space="preserve"> </w:t>
            </w:r>
            <w:r w:rsidRPr="006C1123">
              <w:rPr>
                <w:sz w:val="20"/>
                <w:szCs w:val="20"/>
              </w:rPr>
              <w:t>žemesnį kaip A2B2E2K2Hg-P3 R kodą. Filtras tvirtinamas standartine</w:t>
            </w:r>
            <w:r w:rsidRPr="006C1123">
              <w:rPr>
                <w:spacing w:val="1"/>
                <w:sz w:val="20"/>
                <w:szCs w:val="20"/>
              </w:rPr>
              <w:t xml:space="preserve"> </w:t>
            </w:r>
            <w:r w:rsidRPr="006C1123">
              <w:rPr>
                <w:sz w:val="20"/>
                <w:szCs w:val="20"/>
              </w:rPr>
              <w:t>jungtimi su Rd40 sriegiu. Atitinka EN 14387 ir EN 148-1 ar lygiaverčių  standartų</w:t>
            </w:r>
            <w:r w:rsidRPr="006C1123">
              <w:rPr>
                <w:spacing w:val="1"/>
                <w:sz w:val="20"/>
                <w:szCs w:val="20"/>
              </w:rPr>
              <w:t xml:space="preserve"> </w:t>
            </w:r>
            <w:r w:rsidRPr="006C1123">
              <w:rPr>
                <w:sz w:val="20"/>
                <w:szCs w:val="20"/>
              </w:rPr>
              <w:t>reikalavimus.</w:t>
            </w:r>
          </w:p>
          <w:p w:rsidR="00C713E6" w:rsidRPr="006C1123" w:rsidRDefault="00C713E6" w:rsidP="00C704D5">
            <w:pPr>
              <w:pStyle w:val="TableParagraph"/>
              <w:ind w:right="68"/>
              <w:rPr>
                <w:b/>
                <w:bCs/>
                <w:sz w:val="20"/>
                <w:szCs w:val="20"/>
              </w:rPr>
            </w:pPr>
            <w:r w:rsidRPr="006C1123">
              <w:rPr>
                <w:noProof/>
                <w:sz w:val="20"/>
                <w:szCs w:val="20"/>
                <w:lang w:eastAsia="lt-LT"/>
              </w:rPr>
              <w:drawing>
                <wp:inline distT="0" distB="0" distL="0" distR="0" wp14:anchorId="51629A00" wp14:editId="4EBACFA9">
                  <wp:extent cx="467360" cy="260641"/>
                  <wp:effectExtent l="0" t="0" r="8890" b="635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2" cstate="print"/>
                          <a:stretch>
                            <a:fillRect/>
                          </a:stretch>
                        </pic:blipFill>
                        <pic:spPr>
                          <a:xfrm>
                            <a:off x="0" y="0"/>
                            <a:ext cx="483030" cy="269380"/>
                          </a:xfrm>
                          <a:prstGeom prst="rect">
                            <a:avLst/>
                          </a:prstGeom>
                        </pic:spPr>
                      </pic:pic>
                    </a:graphicData>
                  </a:graphic>
                </wp:inline>
              </w:drawing>
            </w:r>
          </w:p>
        </w:tc>
        <w:tc>
          <w:tcPr>
            <w:tcW w:w="1842" w:type="dxa"/>
            <w:tcBorders>
              <w:top w:val="single" w:sz="4" w:space="0" w:color="auto"/>
              <w:left w:val="single" w:sz="4" w:space="0" w:color="auto"/>
              <w:bottom w:val="single" w:sz="4" w:space="0" w:color="auto"/>
              <w:right w:val="single" w:sz="4" w:space="0" w:color="auto"/>
            </w:tcBorders>
            <w:vAlign w:val="center"/>
          </w:tcPr>
          <w:p w:rsidR="00C713E6" w:rsidRPr="006C1123" w:rsidRDefault="00C713E6" w:rsidP="00C704D5">
            <w:pPr>
              <w:jc w:val="center"/>
              <w:rPr>
                <w:sz w:val="20"/>
                <w:szCs w:val="20"/>
              </w:rPr>
            </w:pPr>
            <w:r w:rsidRPr="006C1123">
              <w:rPr>
                <w:sz w:val="20"/>
                <w:szCs w:val="20"/>
              </w:rPr>
              <w:t>20 vnt.</w:t>
            </w:r>
          </w:p>
        </w:tc>
        <w:tc>
          <w:tcPr>
            <w:tcW w:w="1560" w:type="dxa"/>
            <w:tcBorders>
              <w:top w:val="single" w:sz="4" w:space="0" w:color="auto"/>
              <w:left w:val="single" w:sz="4" w:space="0" w:color="auto"/>
              <w:bottom w:val="single" w:sz="4" w:space="0" w:color="auto"/>
              <w:right w:val="single" w:sz="4" w:space="0" w:color="auto"/>
            </w:tcBorders>
            <w:vAlign w:val="center"/>
          </w:tcPr>
          <w:p w:rsidR="00C713E6" w:rsidRPr="006C1123" w:rsidRDefault="00C713E6" w:rsidP="00C704D5">
            <w:pPr>
              <w:jc w:val="center"/>
              <w:rPr>
                <w:sz w:val="20"/>
                <w:szCs w:val="20"/>
              </w:rPr>
            </w:pPr>
            <w:r w:rsidRPr="006C1123">
              <w:rPr>
                <w:sz w:val="20"/>
                <w:szCs w:val="20"/>
              </w:rPr>
              <w:t>23,00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6C1123" w:rsidRDefault="00C713E6" w:rsidP="00C704D5">
            <w:pPr>
              <w:jc w:val="center"/>
              <w:rPr>
                <w:sz w:val="20"/>
                <w:szCs w:val="20"/>
                <w:lang w:eastAsia="lt-LT"/>
              </w:rPr>
            </w:pPr>
            <w:r w:rsidRPr="006C1123">
              <w:rPr>
                <w:sz w:val="20"/>
                <w:szCs w:val="20"/>
                <w:lang w:eastAsia="lt-LT"/>
              </w:rPr>
              <w:t>460,00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713E6" w:rsidRPr="006C1123" w:rsidRDefault="00C713E6" w:rsidP="00C704D5">
            <w:pPr>
              <w:jc w:val="center"/>
              <w:rPr>
                <w:sz w:val="20"/>
                <w:szCs w:val="20"/>
                <w:lang w:eastAsia="lt-LT"/>
              </w:rPr>
            </w:pPr>
            <w:r w:rsidRPr="006C1123">
              <w:rPr>
                <w:sz w:val="20"/>
                <w:szCs w:val="20"/>
                <w:lang w:eastAsia="lt-LT"/>
              </w:rPr>
              <w:t>556,60</w:t>
            </w:r>
          </w:p>
        </w:tc>
      </w:tr>
    </w:tbl>
    <w:p w:rsidR="00C713E6" w:rsidRPr="0017263A" w:rsidRDefault="00C713E6" w:rsidP="007E069C">
      <w:pPr>
        <w:ind w:firstLine="720"/>
        <w:jc w:val="both"/>
        <w:rPr>
          <w:rFonts w:eastAsia="Calibri"/>
          <w:b/>
          <w:bCs/>
          <w:kern w:val="10"/>
          <w:sz w:val="20"/>
          <w:szCs w:val="20"/>
        </w:rPr>
      </w:pPr>
    </w:p>
    <w:sectPr w:rsidR="00C713E6" w:rsidRPr="0017263A" w:rsidSect="00C713E6">
      <w:pgSz w:w="16840" w:h="11900" w:orient="landscape" w:code="9"/>
      <w:pgMar w:top="1304" w:right="567" w:bottom="567" w:left="567"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89" w:rsidRDefault="00D55A89">
      <w:r>
        <w:separator/>
      </w:r>
    </w:p>
  </w:endnote>
  <w:endnote w:type="continuationSeparator" w:id="0">
    <w:p w:rsidR="00D55A89" w:rsidRDefault="00D5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89" w:rsidRDefault="00D55A89">
      <w:r>
        <w:separator/>
      </w:r>
    </w:p>
  </w:footnote>
  <w:footnote w:type="continuationSeparator" w:id="0">
    <w:p w:rsidR="00D55A89" w:rsidRDefault="00D55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4DB01F9"/>
    <w:multiLevelType w:val="hybridMultilevel"/>
    <w:tmpl w:val="C2A4886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862210"/>
    <w:multiLevelType w:val="hybridMultilevel"/>
    <w:tmpl w:val="B8FAE99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FB49E4"/>
    <w:multiLevelType w:val="hybridMultilevel"/>
    <w:tmpl w:val="DC1E1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6" w15:restartNumberingAfterBreak="0">
    <w:nsid w:val="3C3E46A8"/>
    <w:multiLevelType w:val="hybridMultilevel"/>
    <w:tmpl w:val="7C36A71A"/>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A2C00"/>
    <w:multiLevelType w:val="hybridMultilevel"/>
    <w:tmpl w:val="83B409B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742202"/>
    <w:multiLevelType w:val="hybridMultilevel"/>
    <w:tmpl w:val="CD0C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BD4AF3"/>
    <w:multiLevelType w:val="hybridMultilevel"/>
    <w:tmpl w:val="06B8FC78"/>
    <w:lvl w:ilvl="0" w:tplc="0409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64345DD"/>
    <w:multiLevelType w:val="hybridMultilevel"/>
    <w:tmpl w:val="DF52EFF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1603DB"/>
    <w:multiLevelType w:val="hybridMultilevel"/>
    <w:tmpl w:val="D7405F80"/>
    <w:lvl w:ilvl="0" w:tplc="0409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8"/>
  </w:num>
  <w:num w:numId="2">
    <w:abstractNumId w:val="14"/>
  </w:num>
  <w:num w:numId="3">
    <w:abstractNumId w:val="4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17"/>
  </w:num>
  <w:num w:numId="7">
    <w:abstractNumId w:val="29"/>
  </w:num>
  <w:num w:numId="8">
    <w:abstractNumId w:val="32"/>
  </w:num>
  <w:num w:numId="9">
    <w:abstractNumId w:val="18"/>
  </w:num>
  <w:num w:numId="10">
    <w:abstractNumId w:val="50"/>
  </w:num>
  <w:num w:numId="11">
    <w:abstractNumId w:val="21"/>
  </w:num>
  <w:num w:numId="12">
    <w:abstractNumId w:val="25"/>
  </w:num>
  <w:num w:numId="13">
    <w:abstractNumId w:val="11"/>
  </w:num>
  <w:num w:numId="14">
    <w:abstractNumId w:val="30"/>
  </w:num>
  <w:num w:numId="15">
    <w:abstractNumId w:val="13"/>
  </w:num>
  <w:num w:numId="16">
    <w:abstractNumId w:val="28"/>
  </w:num>
  <w:num w:numId="17">
    <w:abstractNumId w:val="52"/>
  </w:num>
  <w:num w:numId="18">
    <w:abstractNumId w:val="20"/>
  </w:num>
  <w:num w:numId="19">
    <w:abstractNumId w:val="41"/>
  </w:num>
  <w:num w:numId="20">
    <w:abstractNumId w:val="22"/>
  </w:num>
  <w:num w:numId="21">
    <w:abstractNumId w:val="15"/>
  </w:num>
  <w:num w:numId="22">
    <w:abstractNumId w:val="44"/>
  </w:num>
  <w:num w:numId="23">
    <w:abstractNumId w:val="42"/>
  </w:num>
  <w:num w:numId="24">
    <w:abstractNumId w:val="35"/>
  </w:num>
  <w:num w:numId="25">
    <w:abstractNumId w:val="46"/>
  </w:num>
  <w:num w:numId="26">
    <w:abstractNumId w:val="9"/>
  </w:num>
  <w:num w:numId="27">
    <w:abstractNumId w:val="33"/>
  </w:num>
  <w:num w:numId="28">
    <w:abstractNumId w:val="47"/>
  </w:num>
  <w:num w:numId="29">
    <w:abstractNumId w:val="43"/>
  </w:num>
  <w:num w:numId="30">
    <w:abstractNumId w:val="12"/>
  </w:num>
  <w:num w:numId="31">
    <w:abstractNumId w:val="36"/>
  </w:num>
  <w:num w:numId="32">
    <w:abstractNumId w:val="34"/>
  </w:num>
  <w:num w:numId="33">
    <w:abstractNumId w:val="39"/>
  </w:num>
  <w:num w:numId="34">
    <w:abstractNumId w:val="23"/>
  </w:num>
  <w:num w:numId="35">
    <w:abstractNumId w:val="16"/>
  </w:num>
  <w:num w:numId="36">
    <w:abstractNumId w:val="26"/>
  </w:num>
  <w:num w:numId="37">
    <w:abstractNumId w:val="10"/>
  </w:num>
  <w:num w:numId="38">
    <w:abstractNumId w:val="45"/>
  </w:num>
  <w:num w:numId="39">
    <w:abstractNumId w:val="51"/>
  </w:num>
  <w:num w:numId="40">
    <w:abstractNumId w:val="19"/>
  </w:num>
  <w:num w:numId="41">
    <w:abstractNumId w:val="24"/>
  </w:num>
  <w:num w:numId="42">
    <w:abstractNumId w:val="38"/>
  </w:num>
  <w:num w:numId="43">
    <w:abstractNumId w:val="27"/>
  </w:num>
  <w:num w:numId="4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13E6"/>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5A89"/>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5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 w:type="paragraph" w:customStyle="1" w:styleId="TableParagraph">
    <w:name w:val="Table Paragraph"/>
    <w:basedOn w:val="prastasis"/>
    <w:uiPriority w:val="1"/>
    <w:qFormat/>
    <w:rsid w:val="00C713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00C7-86D9-4C2D-80B6-A4A63EDA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9378</Words>
  <Characters>5347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2025-10-27T15:12:00Z</dcterms:modified>
</cp:coreProperties>
</file>