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F71CDA" w:rsidRDefault="000E2C75" w:rsidP="00A01CBC">
            <w:pPr>
              <w:widowControl w:val="0"/>
            </w:pPr>
            <w:r w:rsidRPr="00F71CDA">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3665681C" w:rsidR="000E2C75" w:rsidRDefault="000E2C75" w:rsidP="000E2C75">
      <w:pPr>
        <w:shd w:val="clear" w:color="auto" w:fill="FFFFFF"/>
        <w:jc w:val="center"/>
        <w:rPr>
          <w:rFonts w:eastAsia="Calibri"/>
          <w:b/>
        </w:rPr>
      </w:pPr>
      <w:r w:rsidRPr="000E2C75">
        <w:rPr>
          <w:rFonts w:eastAsia="Calibri"/>
          <w:b/>
        </w:rPr>
        <w:t xml:space="preserve">VILKIJOS GATVĖS IR INŽINERINIŲ MAGISTRALINIŲ TINKLŲ TECHNINIO DARBO PROJEKTO PARENGIMO IR PROJEKTO VYKDYMO PRIEŽIŪROS </w:t>
      </w:r>
      <w:r w:rsidRPr="00671389">
        <w:rPr>
          <w:rFonts w:eastAsia="Calibri"/>
          <w:b/>
        </w:rPr>
        <w:t>PASLAUG</w:t>
      </w:r>
      <w:r>
        <w:rPr>
          <w:rFonts w:eastAsia="Calibri"/>
          <w:b/>
        </w:rPr>
        <w:t xml:space="preserve">Ų </w:t>
      </w:r>
      <w:r w:rsidRPr="00317662">
        <w:rPr>
          <w:rFonts w:eastAsia="Calibri"/>
          <w:b/>
        </w:rPr>
        <w:t>PIRKIMUI</w:t>
      </w:r>
      <w:r w:rsidRPr="00373CDF">
        <w:rPr>
          <w:rFonts w:eastAsia="Calibri"/>
          <w:b/>
        </w:rPr>
        <w:t xml:space="preserve"> </w:t>
      </w:r>
      <w:r w:rsidR="00BA1537">
        <w:rPr>
          <w:rFonts w:eastAsia="Calibri"/>
          <w:b/>
        </w:rPr>
        <w:t xml:space="preserve">SUPAPRASTINTO </w:t>
      </w:r>
      <w:r w:rsidRPr="00373CDF">
        <w:rPr>
          <w:rFonts w:eastAsia="Calibri"/>
          <w:b/>
        </w:rPr>
        <w:t>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7777777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77777777"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77777777" w:rsidR="000E2C75" w:rsidRPr="00A22D2D" w:rsidRDefault="000E2C75" w:rsidP="00A01CBC">
            <w:pPr>
              <w:jc w:val="both"/>
            </w:pPr>
            <w:r w:rsidRPr="00A22D2D">
              <w:t>Kvalifikuotas neypatingojo statinio projekto vadovas (statiniai: susisiekimo komunikacijos – gatvės)</w:t>
            </w:r>
          </w:p>
        </w:tc>
        <w:tc>
          <w:tcPr>
            <w:tcW w:w="2829" w:type="dxa"/>
            <w:tcMar>
              <w:top w:w="0" w:type="dxa"/>
              <w:left w:w="108" w:type="dxa"/>
              <w:bottom w:w="0" w:type="dxa"/>
              <w:right w:w="108" w:type="dxa"/>
            </w:tcMar>
          </w:tcPr>
          <w:p w14:paraId="38DD53A8" w14:textId="77777777" w:rsidR="000E2C75" w:rsidRPr="00A22D2D" w:rsidRDefault="000E2C75" w:rsidP="00A01CBC">
            <w:pPr>
              <w:jc w:val="both"/>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77777777" w:rsidR="000E2C75" w:rsidRPr="00A22D2D" w:rsidRDefault="000E2C75" w:rsidP="00A01CBC">
            <w:pPr>
              <w:jc w:val="both"/>
            </w:pPr>
            <w:r w:rsidRPr="00A22D2D">
              <w:t>Kvalifikuotas neypatingojo statinio projekto vykdymo priežiūros vadovas (statiniai: susisiekimo komunikacijos – gatvės)</w:t>
            </w:r>
          </w:p>
        </w:tc>
        <w:tc>
          <w:tcPr>
            <w:tcW w:w="2829" w:type="dxa"/>
            <w:tcMar>
              <w:top w:w="0" w:type="dxa"/>
              <w:left w:w="108" w:type="dxa"/>
              <w:bottom w:w="0" w:type="dxa"/>
              <w:right w:w="108" w:type="dxa"/>
            </w:tcMar>
          </w:tcPr>
          <w:p w14:paraId="7A265B8D" w14:textId="77777777" w:rsidR="000E2C75" w:rsidRPr="00A22D2D" w:rsidRDefault="000E2C75" w:rsidP="00A01CBC">
            <w:pPr>
              <w:jc w:val="both"/>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77777777" w:rsidR="000E2C75" w:rsidRPr="00A22D2D" w:rsidRDefault="000E2C75" w:rsidP="00A01CBC">
            <w:pPr>
              <w:tabs>
                <w:tab w:val="left" w:pos="312"/>
              </w:tabs>
              <w:jc w:val="both"/>
              <w:rPr>
                <w:bCs/>
              </w:rPr>
            </w:pPr>
            <w:r w:rsidRPr="00A22D2D">
              <w:t>Kvalifikuotas neypatingojo statinio projekto dalies vadovas (statiniai: susisiekimo komunikacijos – gatvės; projekto dalis: susisiekimo)</w:t>
            </w:r>
          </w:p>
        </w:tc>
        <w:tc>
          <w:tcPr>
            <w:tcW w:w="2829" w:type="dxa"/>
            <w:tcMar>
              <w:top w:w="0" w:type="dxa"/>
              <w:left w:w="108" w:type="dxa"/>
              <w:bottom w:w="0" w:type="dxa"/>
              <w:right w:w="108" w:type="dxa"/>
            </w:tcMar>
          </w:tcPr>
          <w:p w14:paraId="3CE93C1D" w14:textId="77777777" w:rsidR="000E2C75" w:rsidRPr="00A22D2D" w:rsidRDefault="000E2C75" w:rsidP="00A01CBC">
            <w:pPr>
              <w:jc w:val="both"/>
            </w:pPr>
          </w:p>
        </w:tc>
      </w:tr>
    </w:tbl>
    <w:p w14:paraId="56066E1C" w14:textId="77777777" w:rsidR="000E2C75" w:rsidRPr="00F71CDA" w:rsidRDefault="000E2C75" w:rsidP="000E2C75">
      <w:pPr>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77777777"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0E2C75">
      <w:pPr>
        <w:jc w:val="both"/>
        <w:rPr>
          <w:rFonts w:ascii="Calibri" w:eastAsiaTheme="minorHAnsi" w:hAnsi="Calibri" w:cs="Calibri"/>
          <w:i/>
          <w:iCs/>
          <w:color w:val="000000" w:themeColor="text1"/>
          <w:sz w:val="22"/>
          <w:szCs w:val="22"/>
        </w:rPr>
      </w:pPr>
      <w:r w:rsidRPr="00F71CDA">
        <w:rPr>
          <w:i/>
          <w:iCs/>
          <w:color w:val="000000" w:themeColor="text1"/>
        </w:rPr>
        <w:lastRenderedPageBreak/>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05"/>
      </w:tblGrid>
      <w:tr w:rsidR="000E2C75" w:rsidRPr="00F71CDA" w14:paraId="56697DC1" w14:textId="77777777" w:rsidTr="009D2B98">
        <w:trPr>
          <w:trHeight w:val="20"/>
        </w:trPr>
        <w:tc>
          <w:tcPr>
            <w:tcW w:w="576" w:type="dxa"/>
            <w:shd w:val="clear" w:color="auto" w:fill="F2F2F2"/>
            <w:tcMar>
              <w:top w:w="0" w:type="dxa"/>
              <w:left w:w="108" w:type="dxa"/>
              <w:bottom w:w="0" w:type="dxa"/>
              <w:right w:w="108" w:type="dxa"/>
            </w:tcMar>
            <w:vAlign w:val="center"/>
            <w:hideMark/>
          </w:tcPr>
          <w:p w14:paraId="2CECCFBF" w14:textId="77777777" w:rsidR="000E2C75" w:rsidRPr="00F71CDA" w:rsidRDefault="000E2C75" w:rsidP="00A01CBC">
            <w:pPr>
              <w:jc w:val="center"/>
              <w:rPr>
                <w:b/>
                <w:bCs/>
                <w:sz w:val="22"/>
                <w:szCs w:val="22"/>
              </w:rPr>
            </w:pPr>
            <w:r w:rsidRPr="00F71CDA">
              <w:rPr>
                <w:b/>
                <w:bCs/>
              </w:rPr>
              <w:t>Eil. Nr.</w:t>
            </w:r>
          </w:p>
        </w:tc>
        <w:tc>
          <w:tcPr>
            <w:tcW w:w="7499" w:type="dxa"/>
            <w:shd w:val="clear" w:color="auto" w:fill="F2F2F2"/>
            <w:tcMar>
              <w:top w:w="0" w:type="dxa"/>
              <w:left w:w="108" w:type="dxa"/>
              <w:bottom w:w="0" w:type="dxa"/>
              <w:right w:w="108" w:type="dxa"/>
            </w:tcMar>
            <w:vAlign w:val="center"/>
            <w:hideMark/>
          </w:tcPr>
          <w:p w14:paraId="13EA8BC9" w14:textId="77777777" w:rsidR="000E2C75" w:rsidRPr="00F71CDA" w:rsidRDefault="000E2C75" w:rsidP="00A01CBC">
            <w:pPr>
              <w:jc w:val="center"/>
              <w:rPr>
                <w:b/>
                <w:bCs/>
              </w:rPr>
            </w:pPr>
            <w:r w:rsidRPr="00F71CDA">
              <w:rPr>
                <w:b/>
                <w:bCs/>
                <w:color w:val="000000"/>
              </w:rPr>
              <w:t>Paslaugų pavadinimas</w:t>
            </w:r>
          </w:p>
        </w:tc>
        <w:tc>
          <w:tcPr>
            <w:tcW w:w="1705" w:type="dxa"/>
            <w:shd w:val="clear" w:color="auto" w:fill="F2F2F2"/>
            <w:tcMar>
              <w:top w:w="0" w:type="dxa"/>
              <w:left w:w="108" w:type="dxa"/>
              <w:bottom w:w="0" w:type="dxa"/>
              <w:right w:w="108" w:type="dxa"/>
            </w:tcMar>
            <w:vAlign w:val="center"/>
            <w:hideMark/>
          </w:tcPr>
          <w:p w14:paraId="280156BE" w14:textId="77777777" w:rsidR="000E2C75" w:rsidRPr="00F71CDA" w:rsidRDefault="000E2C75" w:rsidP="00A01CBC">
            <w:pPr>
              <w:jc w:val="center"/>
              <w:rPr>
                <w:b/>
                <w:bCs/>
              </w:rPr>
            </w:pPr>
            <w:r w:rsidRPr="00F71CDA">
              <w:rPr>
                <w:b/>
                <w:bCs/>
                <w:color w:val="000000"/>
              </w:rPr>
              <w:t>Kaina Eur be PVM</w:t>
            </w:r>
          </w:p>
        </w:tc>
      </w:tr>
      <w:tr w:rsidR="000E2C75" w:rsidRPr="00F71CDA" w14:paraId="4DB5F707" w14:textId="77777777" w:rsidTr="009D2B98">
        <w:trPr>
          <w:trHeight w:val="20"/>
        </w:trPr>
        <w:tc>
          <w:tcPr>
            <w:tcW w:w="576" w:type="dxa"/>
            <w:tcMar>
              <w:top w:w="0" w:type="dxa"/>
              <w:left w:w="108" w:type="dxa"/>
              <w:bottom w:w="0" w:type="dxa"/>
              <w:right w:w="108" w:type="dxa"/>
            </w:tcMar>
            <w:vAlign w:val="center"/>
          </w:tcPr>
          <w:p w14:paraId="280A40F0" w14:textId="77777777" w:rsidR="000E2C75" w:rsidRDefault="000E2C75" w:rsidP="00A01CBC">
            <w:r>
              <w:t>1.</w:t>
            </w:r>
          </w:p>
        </w:tc>
        <w:tc>
          <w:tcPr>
            <w:tcW w:w="7499" w:type="dxa"/>
            <w:tcMar>
              <w:top w:w="0" w:type="dxa"/>
              <w:left w:w="108" w:type="dxa"/>
              <w:bottom w:w="0" w:type="dxa"/>
              <w:right w:w="108" w:type="dxa"/>
            </w:tcMar>
            <w:vAlign w:val="center"/>
          </w:tcPr>
          <w:p w14:paraId="2C69F947" w14:textId="6CCD55A5" w:rsidR="000E2C75" w:rsidRPr="00B144C0" w:rsidRDefault="000E2C75" w:rsidP="000E2C75">
            <w:pPr>
              <w:ind w:left="48" w:right="130"/>
              <w:jc w:val="both"/>
              <w:rPr>
                <w:color w:val="000000" w:themeColor="text1"/>
              </w:rPr>
            </w:pPr>
            <w:r w:rsidRPr="000E2C75">
              <w:rPr>
                <w:color w:val="000000" w:themeColor="text1"/>
              </w:rPr>
              <w:t xml:space="preserve">Vilkijos gatvės ir inžinerinių magistralinių tinklų techninio darbo projekto </w:t>
            </w:r>
            <w:r w:rsidRPr="00B144C0">
              <w:rPr>
                <w:color w:val="000000" w:themeColor="text1"/>
              </w:rPr>
              <w:t>parengimas</w:t>
            </w:r>
            <w:r>
              <w:rPr>
                <w:color w:val="000000" w:themeColor="text1"/>
              </w:rPr>
              <w:t>, įskaitant visas susijusias paslaugas</w:t>
            </w:r>
            <w:r w:rsidR="009D2B98">
              <w:rPr>
                <w:color w:val="000000" w:themeColor="text1"/>
              </w:rPr>
              <w:t>*</w:t>
            </w:r>
          </w:p>
        </w:tc>
        <w:tc>
          <w:tcPr>
            <w:tcW w:w="1705" w:type="dxa"/>
            <w:tcMar>
              <w:top w:w="0" w:type="dxa"/>
              <w:left w:w="108" w:type="dxa"/>
              <w:bottom w:w="0" w:type="dxa"/>
              <w:right w:w="108" w:type="dxa"/>
            </w:tcMar>
            <w:vAlign w:val="center"/>
          </w:tcPr>
          <w:p w14:paraId="788CD435" w14:textId="4B816343" w:rsidR="000E2C75" w:rsidRPr="00360B15" w:rsidRDefault="000E2C75" w:rsidP="00A01CBC">
            <w:pPr>
              <w:jc w:val="center"/>
              <w:rPr>
                <w:i/>
                <w:iCs/>
                <w:highlight w:val="lightGray"/>
              </w:rPr>
            </w:pPr>
          </w:p>
        </w:tc>
      </w:tr>
      <w:tr w:rsidR="009D2B98" w:rsidRPr="00F71CDA" w14:paraId="00659A65" w14:textId="77777777" w:rsidTr="009D2B98">
        <w:trPr>
          <w:trHeight w:val="20"/>
        </w:trPr>
        <w:tc>
          <w:tcPr>
            <w:tcW w:w="8075" w:type="dxa"/>
            <w:gridSpan w:val="2"/>
            <w:shd w:val="clear" w:color="auto" w:fill="F2F2F2"/>
            <w:tcMar>
              <w:top w:w="0" w:type="dxa"/>
              <w:left w:w="108" w:type="dxa"/>
              <w:bottom w:w="0" w:type="dxa"/>
              <w:right w:w="108" w:type="dxa"/>
            </w:tcMar>
            <w:vAlign w:val="center"/>
            <w:hideMark/>
          </w:tcPr>
          <w:p w14:paraId="69FB9B5B" w14:textId="18C8361F" w:rsidR="009D2B98" w:rsidRPr="00F71CDA" w:rsidRDefault="009D2B98" w:rsidP="009D2B98">
            <w:pPr>
              <w:jc w:val="right"/>
            </w:pPr>
            <w:r w:rsidRPr="00F71CDA">
              <w:rPr>
                <w:b/>
                <w:bCs/>
                <w:color w:val="000000"/>
              </w:rPr>
              <w:t>Pasiūlymo kaina Eur be PVM:</w:t>
            </w:r>
          </w:p>
        </w:tc>
        <w:tc>
          <w:tcPr>
            <w:tcW w:w="1705" w:type="dxa"/>
            <w:tcMar>
              <w:top w:w="0" w:type="dxa"/>
              <w:left w:w="108" w:type="dxa"/>
              <w:bottom w:w="0" w:type="dxa"/>
              <w:right w:w="108" w:type="dxa"/>
            </w:tcMar>
            <w:hideMark/>
          </w:tcPr>
          <w:p w14:paraId="7483D3E9" w14:textId="731411FB" w:rsidR="009D2B98" w:rsidRPr="00F71CDA" w:rsidRDefault="009D2B98" w:rsidP="009D2B98">
            <w:pPr>
              <w:jc w:val="center"/>
              <w:rPr>
                <w:sz w:val="20"/>
                <w:szCs w:val="20"/>
              </w:rPr>
            </w:pPr>
            <w:r w:rsidRPr="007E505F">
              <w:rPr>
                <w:bCs/>
                <w:i/>
                <w:iCs/>
                <w:sz w:val="20"/>
                <w:szCs w:val="20"/>
                <w:highlight w:val="lightGray"/>
              </w:rPr>
              <w:t>(įrašyti skaičiais)</w:t>
            </w:r>
          </w:p>
        </w:tc>
      </w:tr>
      <w:tr w:rsidR="009D2B98" w:rsidRPr="00F71CDA" w14:paraId="7A37CC3A" w14:textId="77777777" w:rsidTr="009D2B98">
        <w:trPr>
          <w:trHeight w:val="20"/>
        </w:trPr>
        <w:tc>
          <w:tcPr>
            <w:tcW w:w="8075" w:type="dxa"/>
            <w:gridSpan w:val="2"/>
            <w:shd w:val="clear" w:color="auto" w:fill="F2F2F2"/>
            <w:tcMar>
              <w:top w:w="0" w:type="dxa"/>
              <w:left w:w="108" w:type="dxa"/>
              <w:bottom w:w="0" w:type="dxa"/>
              <w:right w:w="108" w:type="dxa"/>
            </w:tcMar>
            <w:vAlign w:val="center"/>
          </w:tcPr>
          <w:p w14:paraId="54E0B4D6" w14:textId="77777777" w:rsidR="009D2B98" w:rsidRPr="00F71CDA" w:rsidRDefault="009D2B98" w:rsidP="009D2B98">
            <w:pPr>
              <w:jc w:val="right"/>
              <w:rPr>
                <w:b/>
                <w:bCs/>
                <w:color w:val="000000"/>
              </w:rPr>
            </w:pPr>
            <w:r w:rsidRPr="00E51057">
              <w:rPr>
                <w:b/>
                <w:bCs/>
                <w:color w:val="000000"/>
              </w:rPr>
              <w:t>PVM (21 proc.) Eur:</w:t>
            </w:r>
          </w:p>
        </w:tc>
        <w:tc>
          <w:tcPr>
            <w:tcW w:w="1705" w:type="dxa"/>
            <w:tcMar>
              <w:top w:w="0" w:type="dxa"/>
              <w:left w:w="108" w:type="dxa"/>
              <w:bottom w:w="0" w:type="dxa"/>
              <w:right w:w="108" w:type="dxa"/>
            </w:tcMar>
          </w:tcPr>
          <w:p w14:paraId="4B864CA9" w14:textId="6402B567" w:rsidR="009D2B98" w:rsidRPr="00F71CDA" w:rsidRDefault="009D2B98" w:rsidP="009D2B98">
            <w:pPr>
              <w:jc w:val="center"/>
              <w:rPr>
                <w:sz w:val="20"/>
                <w:szCs w:val="20"/>
              </w:rPr>
            </w:pPr>
            <w:r w:rsidRPr="007E505F">
              <w:rPr>
                <w:bCs/>
                <w:i/>
                <w:iCs/>
                <w:sz w:val="20"/>
                <w:szCs w:val="20"/>
                <w:highlight w:val="lightGray"/>
              </w:rPr>
              <w:t>(įrašyti skaičiais)</w:t>
            </w:r>
          </w:p>
        </w:tc>
      </w:tr>
      <w:tr w:rsidR="009D2B98" w:rsidRPr="00F71CDA" w14:paraId="7EE1519F" w14:textId="77777777" w:rsidTr="009D2B98">
        <w:trPr>
          <w:trHeight w:val="20"/>
        </w:trPr>
        <w:tc>
          <w:tcPr>
            <w:tcW w:w="8075" w:type="dxa"/>
            <w:gridSpan w:val="2"/>
            <w:shd w:val="clear" w:color="auto" w:fill="F2F2F2"/>
            <w:tcMar>
              <w:top w:w="0" w:type="dxa"/>
              <w:left w:w="108" w:type="dxa"/>
              <w:bottom w:w="0" w:type="dxa"/>
              <w:right w:w="108" w:type="dxa"/>
            </w:tcMar>
            <w:vAlign w:val="center"/>
            <w:hideMark/>
          </w:tcPr>
          <w:p w14:paraId="49A2CF4C" w14:textId="77777777" w:rsidR="009D2B98" w:rsidRPr="00F71CDA" w:rsidRDefault="009D2B98" w:rsidP="009D2B98">
            <w:pPr>
              <w:jc w:val="right"/>
              <w:rPr>
                <w:b/>
                <w:bCs/>
              </w:rPr>
            </w:pPr>
            <w:r w:rsidRPr="00F71CDA">
              <w:rPr>
                <w:b/>
                <w:bCs/>
                <w:color w:val="000000"/>
              </w:rPr>
              <w:t>Pasiūlymo kaina Eur su PVM:</w:t>
            </w:r>
          </w:p>
        </w:tc>
        <w:tc>
          <w:tcPr>
            <w:tcW w:w="1705" w:type="dxa"/>
            <w:tcMar>
              <w:top w:w="0" w:type="dxa"/>
              <w:left w:w="108" w:type="dxa"/>
              <w:bottom w:w="0" w:type="dxa"/>
              <w:right w:w="108" w:type="dxa"/>
            </w:tcMar>
            <w:hideMark/>
          </w:tcPr>
          <w:p w14:paraId="05F764C3" w14:textId="56F62DEC" w:rsidR="009D2B98" w:rsidRPr="00DF140C" w:rsidRDefault="009D2B98" w:rsidP="009D2B98">
            <w:pPr>
              <w:jc w:val="center"/>
              <w:rPr>
                <w:i/>
                <w:iCs/>
                <w:sz w:val="20"/>
                <w:szCs w:val="20"/>
              </w:rPr>
            </w:pPr>
            <w:r w:rsidRPr="007E505F">
              <w:rPr>
                <w:bCs/>
                <w:i/>
                <w:iCs/>
                <w:sz w:val="20"/>
                <w:szCs w:val="20"/>
                <w:highlight w:val="lightGray"/>
              </w:rPr>
              <w:t>(įrašyti skaičiais)</w:t>
            </w:r>
          </w:p>
        </w:tc>
      </w:tr>
    </w:tbl>
    <w:p w14:paraId="4C8BBFEF" w14:textId="6FC19EC5" w:rsidR="00EA4D8E" w:rsidRDefault="00EA4D8E" w:rsidP="000E2C75">
      <w:pPr>
        <w:ind w:firstLine="709"/>
        <w:jc w:val="both"/>
        <w:rPr>
          <w:i/>
          <w:iCs/>
        </w:rPr>
      </w:pPr>
      <w:r w:rsidRPr="00EA4D8E">
        <w:rPr>
          <w:i/>
          <w:iCs/>
        </w:rPr>
        <w:t>(</w:t>
      </w:r>
      <w:r w:rsidR="009D2B98" w:rsidRPr="00EA4D8E">
        <w:rPr>
          <w:i/>
          <w:iCs/>
        </w:rPr>
        <w:t>*</w:t>
      </w:r>
      <w:r w:rsidR="009D2B98" w:rsidRPr="009D2B98">
        <w:rPr>
          <w:b/>
          <w:bCs/>
          <w:i/>
          <w:iCs/>
        </w:rPr>
        <w:t>AKTUALU</w:t>
      </w:r>
      <w:r w:rsidR="009D2B98">
        <w:rPr>
          <w:i/>
          <w:iCs/>
        </w:rPr>
        <w:t xml:space="preserve"> </w:t>
      </w:r>
      <w:r w:rsidRPr="009D2B98">
        <w:rPr>
          <w:i/>
          <w:iCs/>
          <w:u w:val="single"/>
        </w:rPr>
        <w:t>su paslaugų apmokėjimo tvarka ir eiliškumu prašome susipažinti Sutarties projekto (konkurso sąlygų aprašo 5 priedas) Specialiųjų sąlygų 5.5 punkte.)</w:t>
      </w:r>
    </w:p>
    <w:p w14:paraId="7EEB2079" w14:textId="77777777" w:rsidR="00EA4D8E" w:rsidRDefault="00EA4D8E" w:rsidP="000E2C75">
      <w:pPr>
        <w:ind w:firstLine="709"/>
        <w:jc w:val="both"/>
        <w:rPr>
          <w:i/>
          <w:iCs/>
        </w:rPr>
      </w:pPr>
    </w:p>
    <w:p w14:paraId="2505373A" w14:textId="284F227F" w:rsidR="000E2C75" w:rsidRPr="008D07AA" w:rsidRDefault="000E2C75" w:rsidP="000E2C75">
      <w:pPr>
        <w:ind w:firstLine="709"/>
        <w:jc w:val="both"/>
        <w:rPr>
          <w:i/>
          <w:iCs/>
        </w:rPr>
      </w:pPr>
      <w:r w:rsidRPr="008D07AA">
        <w:rPr>
          <w:i/>
          <w:iCs/>
        </w:rPr>
        <w:t>Pastabos:</w:t>
      </w:r>
    </w:p>
    <w:p w14:paraId="137503E5" w14:textId="00A1788D" w:rsidR="000E2C75" w:rsidRPr="008D07AA" w:rsidRDefault="000E2C75" w:rsidP="000E2C75">
      <w:pPr>
        <w:ind w:firstLine="720"/>
        <w:jc w:val="both"/>
        <w:rPr>
          <w:i/>
          <w:iCs/>
        </w:rPr>
      </w:pPr>
      <w:r w:rsidRPr="008D07AA">
        <w:rPr>
          <w:i/>
          <w:iCs/>
        </w:rPr>
        <w:t>- kainos pasiūlyme nurodomos paliekant du skaitmenis po kablelio</w:t>
      </w:r>
      <w:r w:rsidR="008D5861">
        <w:rPr>
          <w:i/>
          <w:iCs/>
        </w:rPr>
        <w:t xml:space="preserve"> </w:t>
      </w:r>
      <w:r w:rsidR="008D5861">
        <w:rPr>
          <w:i/>
        </w:rPr>
        <w:t>(</w:t>
      </w:r>
      <w:r w:rsidR="008D5861">
        <w:rPr>
          <w:bCs/>
          <w:i/>
          <w:iCs/>
        </w:rPr>
        <w:t>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D07AA">
        <w:rPr>
          <w:i/>
          <w:iCs/>
        </w:rPr>
        <w:t>;</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6F4B9F58" w:rsidR="00FF7AFF" w:rsidRPr="00FF7AFF" w:rsidRDefault="000E2C75" w:rsidP="00EA4D8E">
      <w:pPr>
        <w:ind w:firstLine="720"/>
        <w:jc w:val="both"/>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1"/>
      <w:r w:rsidR="00EA4D8E">
        <w:rPr>
          <w:i/>
          <w:iCs/>
        </w:rPr>
        <w:t>.</w:t>
      </w:r>
    </w:p>
    <w:p w14:paraId="4E569544" w14:textId="036D290B" w:rsidR="00EA4D8E" w:rsidRDefault="00EA4D8E" w:rsidP="000E2C75">
      <w:pPr>
        <w:widowControl w:val="0"/>
        <w:ind w:firstLine="709"/>
        <w:jc w:val="both"/>
      </w:pPr>
      <w:r w:rsidRPr="00EA4D8E">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FEB02F9" w14:textId="4849B2A1"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77777777"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CE4C1E">
                <w:rPr>
                  <w:rStyle w:val="Hipersaitas"/>
                  <w:i/>
                  <w:iCs/>
                  <w:color w:val="000000" w:themeColor="text1"/>
                </w:rPr>
                <w:t>3</w:t>
              </w:r>
              <w:r>
                <w:rPr>
                  <w:rStyle w:val="Hipersaitas"/>
                  <w:i/>
                  <w:iCs/>
                  <w:color w:val="000000" w:themeColor="text1"/>
                </w:rPr>
                <w:t>3</w:t>
              </w:r>
              <w:r w:rsidRPr="00CE4C1E">
                <w:rPr>
                  <w:rStyle w:val="Hipersaitas"/>
                  <w:i/>
                  <w:iCs/>
                  <w:color w:val="000000" w:themeColor="text1"/>
                </w:rPr>
                <w:t xml:space="preserve">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lastRenderedPageBreak/>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57E95B6C" w14:textId="77777777" w:rsidR="000E2C75" w:rsidRPr="00F71CDA" w:rsidRDefault="000E2C75" w:rsidP="000E2C75">
      <w:pPr>
        <w:widowControl w:val="0"/>
        <w:ind w:firstLine="709"/>
        <w:jc w:val="both"/>
      </w:pPr>
      <w:r w:rsidRPr="00F71CDA">
        <w:t>Kartu su pasiūlymu pateikiami šie dokumentai (</w:t>
      </w:r>
      <w:r w:rsidRPr="00F71CDA">
        <w:rPr>
          <w:i/>
        </w:rPr>
        <w:t xml:space="preserve">kartu su pasiūlymu pateikiami dokumentai nurodyti konkurso sąlygų aprašo </w:t>
      </w:r>
      <w:r w:rsidRPr="00971C61">
        <w:rPr>
          <w:i/>
        </w:rPr>
        <w:t>37 p</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343E7337" w14:textId="77777777" w:rsidR="000E2C75" w:rsidRPr="00F71CDA" w:rsidRDefault="000E2C75" w:rsidP="000E2C75">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sidRPr="006F39E2">
        <w:rPr>
          <w:bCs/>
        </w:rPr>
        <w:t>.</w:t>
      </w:r>
    </w:p>
    <w:p w14:paraId="5AD6CF28" w14:textId="2E938F7E" w:rsidR="000E2C75" w:rsidRDefault="000E2C75" w:rsidP="000E2C75">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6DF4AF6F" w14:textId="3E3D6F71" w:rsidR="00EA4D8E" w:rsidRDefault="00EA4D8E" w:rsidP="000E2C75">
      <w:pPr>
        <w:tabs>
          <w:tab w:val="left" w:pos="567"/>
          <w:tab w:val="left" w:pos="709"/>
        </w:tabs>
        <w:spacing w:before="100" w:beforeAutospacing="1" w:after="100" w:afterAutospacing="1" w:line="259" w:lineRule="auto"/>
        <w:ind w:firstLine="709"/>
        <w:jc w:val="both"/>
        <w:rPr>
          <w:lang w:eastAsia="lt-LT"/>
        </w:rPr>
      </w:pPr>
      <w:r w:rsidRPr="00EA4D8E">
        <w:rPr>
          <w:lang w:eastAsia="lt-LT"/>
        </w:rPr>
        <w:t>Perkančioji organizacija nereikalauja, kad pasiūlymas (pagal šią formą) būtų pasirašytas. Tiekėjui pateikus pasirašytą pasiūlymą, jo pasirašymas nebus vertinamas.</w:t>
      </w: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7DA1" w14:textId="77777777" w:rsidR="00CE166D" w:rsidRDefault="00CE166D">
      <w:r>
        <w:separator/>
      </w:r>
    </w:p>
  </w:endnote>
  <w:endnote w:type="continuationSeparator" w:id="0">
    <w:p w14:paraId="78EAAF05" w14:textId="77777777" w:rsidR="00CE166D" w:rsidRDefault="00CE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4BB6" w14:textId="77777777" w:rsidR="00CE166D" w:rsidRDefault="00CE166D">
      <w:r>
        <w:separator/>
      </w:r>
    </w:p>
  </w:footnote>
  <w:footnote w:type="continuationSeparator" w:id="0">
    <w:p w14:paraId="0927708C" w14:textId="77777777" w:rsidR="00CE166D" w:rsidRDefault="00CE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CE16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24067D"/>
    <w:rsid w:val="0052793D"/>
    <w:rsid w:val="005D4FFD"/>
    <w:rsid w:val="006F26F0"/>
    <w:rsid w:val="00893867"/>
    <w:rsid w:val="008D5861"/>
    <w:rsid w:val="009D2B98"/>
    <w:rsid w:val="00A0289E"/>
    <w:rsid w:val="00A22D2D"/>
    <w:rsid w:val="00BA1537"/>
    <w:rsid w:val="00BB4CA3"/>
    <w:rsid w:val="00C856E7"/>
    <w:rsid w:val="00CE166D"/>
    <w:rsid w:val="00E87329"/>
    <w:rsid w:val="00EA4D8E"/>
    <w:rsid w:val="00EC69A3"/>
    <w:rsid w:val="00FC3739"/>
    <w:rsid w:val="00FF0459"/>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4287</Words>
  <Characters>2445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Deimantė Butenienė</cp:lastModifiedBy>
  <cp:revision>12</cp:revision>
  <dcterms:created xsi:type="dcterms:W3CDTF">2025-07-29T07:12:00Z</dcterms:created>
  <dcterms:modified xsi:type="dcterms:W3CDTF">2025-10-20T13:27:00Z</dcterms:modified>
</cp:coreProperties>
</file>