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lastRenderedPageBreak/>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w:t>
      </w:r>
      <w:r>
        <w:rPr>
          <w:color w:val="000000"/>
          <w:szCs w:val="24"/>
          <w:shd w:val="clear" w:color="auto" w:fill="FFFFFF"/>
        </w:rPr>
        <w:lastRenderedPageBreak/>
        <w:t>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xml:space="preserve">, turi teisę pakeisti Partnerį, jei dėl reorganizavimo, restruktūrizavimo ar bankroto procedūrų, pradinio Partnerio teises ir pareigas visiškai arba iš dalies </w:t>
      </w:r>
      <w:r>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lastRenderedPageBreak/>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 xml:space="preserve">10.6. Sutarties įvykdymo užtikrinime negali būti nurodyta, kad bankas (draudimo bendrovė) atsako tik už tiesioginių nuostolių atlyginimą. Bankas (draudimo bendrovė) neturi teisės reikalauti, kad Pirkėjas </w:t>
      </w:r>
      <w:r>
        <w:rPr>
          <w:color w:val="000000"/>
          <w:szCs w:val="24"/>
        </w:rP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lastRenderedPageBreak/>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 xml:space="preserve">17.2. Netesybų sumokėjimas ir (ar) Sutarties įvykdymo užtikrinimo gavimas nepanaikina Šalies teisės reikalauti, kad kita Šalis kompensuotų jos patirtus nuostolius. Šioje Sutartyje nustatytos netesybos yra </w:t>
      </w:r>
      <w:r>
        <w:rPr>
          <w:color w:val="000000"/>
          <w:szCs w:val="24"/>
        </w:rPr>
        <w:lastRenderedPageBreak/>
        <w:t>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lastRenderedPageBreak/>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lastRenderedPageBreak/>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 xml:space="preserve">21.9. Jeigu Sutartyje numatytų prievolių įvykdymo terminai buvo sustabdyti Sutartyje nustatytais pagrindais, jie atnaujinami pasibaigus sustabdymą lėmusioms aplinkybėms arba Šalių susitarime </w:t>
      </w:r>
      <w:r>
        <w:rPr>
          <w:color w:val="000000"/>
          <w:szCs w:val="24"/>
        </w:rPr>
        <w:lastRenderedPageBreak/>
        <w:t>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lastRenderedPageBreak/>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lastRenderedPageBreak/>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 xml:space="preserve">23.1.1. jei Tiekėjo pasiūlyme nurodytos Prekės nebegaminamos ar iš esmės sutriko jų tiekimas ir gautas gamintojo patvirtinimas ir (ar) Prekės, jų gamintojas kelia grėsmę nacionaliniam saugumui ir (ar) Prekių </w:t>
      </w:r>
      <w:r>
        <w:rPr>
          <w:szCs w:val="24"/>
        </w:rPr>
        <w:lastRenderedPageBreak/>
        <w:t>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8B4B2" w14:textId="77777777" w:rsidR="007E2B03" w:rsidRDefault="007E2B03">
      <w:pPr>
        <w:rPr>
          <w:kern w:val="2"/>
          <w:sz w:val="22"/>
          <w:szCs w:val="22"/>
          <w:lang w:val="en-US"/>
        </w:rPr>
      </w:pPr>
      <w:r>
        <w:rPr>
          <w:kern w:val="2"/>
          <w:sz w:val="22"/>
          <w:szCs w:val="22"/>
          <w:lang w:val="en-US"/>
        </w:rPr>
        <w:separator/>
      </w:r>
    </w:p>
  </w:endnote>
  <w:endnote w:type="continuationSeparator" w:id="0">
    <w:p w14:paraId="4A8E0012" w14:textId="77777777" w:rsidR="007E2B03" w:rsidRDefault="007E2B03">
      <w:pPr>
        <w:rPr>
          <w:kern w:val="2"/>
          <w:sz w:val="22"/>
          <w:szCs w:val="22"/>
          <w:lang w:val="en-US"/>
        </w:rPr>
      </w:pPr>
      <w:r>
        <w:rPr>
          <w:kern w:val="2"/>
          <w:sz w:val="22"/>
          <w:szCs w:val="22"/>
          <w:lang w:val="en-US"/>
        </w:rPr>
        <w:continuationSeparator/>
      </w:r>
    </w:p>
  </w:endnote>
  <w:endnote w:type="continuationNotice" w:id="1">
    <w:p w14:paraId="21209338" w14:textId="77777777" w:rsidR="007E2B03" w:rsidRDefault="007E2B0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4B45F" w14:textId="77777777" w:rsidR="007E2B03" w:rsidRDefault="007E2B03">
      <w:pPr>
        <w:rPr>
          <w:kern w:val="2"/>
          <w:sz w:val="22"/>
          <w:szCs w:val="22"/>
          <w:lang w:val="en-US"/>
        </w:rPr>
      </w:pPr>
      <w:r>
        <w:rPr>
          <w:kern w:val="2"/>
          <w:sz w:val="22"/>
          <w:szCs w:val="22"/>
          <w:lang w:val="en-US"/>
        </w:rPr>
        <w:separator/>
      </w:r>
    </w:p>
  </w:footnote>
  <w:footnote w:type="continuationSeparator" w:id="0">
    <w:p w14:paraId="7E682C51" w14:textId="77777777" w:rsidR="007E2B03" w:rsidRDefault="007E2B03">
      <w:pPr>
        <w:rPr>
          <w:kern w:val="2"/>
          <w:sz w:val="22"/>
          <w:szCs w:val="22"/>
          <w:lang w:val="en-US"/>
        </w:rPr>
      </w:pPr>
      <w:r>
        <w:rPr>
          <w:kern w:val="2"/>
          <w:sz w:val="22"/>
          <w:szCs w:val="22"/>
          <w:lang w:val="en-US"/>
        </w:rPr>
        <w:continuationSeparator/>
      </w:r>
    </w:p>
  </w:footnote>
  <w:footnote w:type="continuationNotice" w:id="1">
    <w:p w14:paraId="2CB07ECA" w14:textId="77777777" w:rsidR="007E2B03" w:rsidRDefault="007E2B0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170099"/>
    <w:rsid w:val="002A03FF"/>
    <w:rsid w:val="003E238A"/>
    <w:rsid w:val="0049035F"/>
    <w:rsid w:val="007E2B03"/>
    <w:rsid w:val="00960963"/>
    <w:rsid w:val="00962C24"/>
    <w:rsid w:val="009E3561"/>
    <w:rsid w:val="00D549E7"/>
    <w:rsid w:val="00E55190"/>
    <w:rsid w:val="00F727C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4C551B95-4F5C-4779-8306-C979F7B620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53587</Words>
  <Characters>30545</Characters>
  <Application>Microsoft Office Word</Application>
  <DocSecurity>0</DocSecurity>
  <Lines>254</Lines>
  <Paragraphs>167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83965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Daiva Buziene</cp:lastModifiedBy>
  <cp:revision>2</cp:revision>
  <dcterms:created xsi:type="dcterms:W3CDTF">2025-10-09T14:41:00Z</dcterms:created>
  <dcterms:modified xsi:type="dcterms:W3CDTF">2025-10-09T14:41:00Z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