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48ACF016" w:rsidR="00114209" w:rsidRPr="00B67D12" w:rsidRDefault="00B67D12" w:rsidP="00114209">
      <w:pPr>
        <w:pStyle w:val="Header"/>
        <w:jc w:val="right"/>
        <w:rPr>
          <w:rFonts w:ascii="Times New Roman" w:hAnsi="Times New Roman" w:cs="Times New Roman"/>
        </w:rPr>
      </w:pPr>
      <w:r w:rsidRPr="00B67D12">
        <w:rPr>
          <w:rFonts w:ascii="Times New Roman" w:eastAsia="Calibri" w:hAnsi="Times New Roman" w:cs="Times New Roman"/>
          <w:bCs/>
          <w:i/>
        </w:rPr>
        <w:t>Konkretaus pirkimo sąlygų</w:t>
      </w:r>
      <w:r w:rsidR="00114209" w:rsidRPr="00B67D12">
        <w:rPr>
          <w:rFonts w:ascii="Times New Roman" w:eastAsia="Calibri" w:hAnsi="Times New Roman" w:cs="Times New Roman"/>
          <w:bCs/>
          <w:i/>
        </w:rPr>
        <w:t xml:space="preserve"> 1 priedas</w:t>
      </w:r>
    </w:p>
    <w:p w14:paraId="79BC7D62" w14:textId="072CEF09" w:rsidR="00C71538" w:rsidRDefault="00C71538">
      <w:pPr>
        <w:rPr>
          <w:rFonts w:ascii="Times New Roman" w:eastAsia="Calibri" w:hAnsi="Times New Roman" w:cs="Times New Roman"/>
          <w:b/>
          <w:bCs/>
        </w:rPr>
      </w:pPr>
    </w:p>
    <w:p w14:paraId="62D9844E" w14:textId="53DD7EFF" w:rsidR="004A5BDE" w:rsidRPr="00682323" w:rsidRDefault="00B86484" w:rsidP="00B86484">
      <w:pPr>
        <w:tabs>
          <w:tab w:val="left" w:pos="8137"/>
        </w:tabs>
        <w:spacing w:after="0" w:line="240" w:lineRule="auto"/>
        <w:jc w:val="center"/>
        <w:rPr>
          <w:rFonts w:ascii="Times New Roman" w:eastAsia="Calibri" w:hAnsi="Times New Roman" w:cs="Times New Roman"/>
          <w:b/>
          <w:bCs/>
        </w:rPr>
      </w:pPr>
      <w:r>
        <w:rPr>
          <w:rFonts w:eastAsia="Calibri"/>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Pr>
          <w:rFonts w:ascii="Arial" w:hAnsi="Arial" w:cs="Arial"/>
          <w:color w:val="000000"/>
          <w:shd w:val="clear" w:color="auto" w:fill="FFFFFF"/>
        </w:rPr>
        <w:br/>
      </w:r>
    </w:p>
    <w:p w14:paraId="4DB5964D" w14:textId="77777777" w:rsidR="004A0C48" w:rsidRPr="00682323" w:rsidRDefault="004A0C48" w:rsidP="004A0C48">
      <w:pPr>
        <w:tabs>
          <w:tab w:val="left" w:pos="8137"/>
        </w:tabs>
        <w:spacing w:after="0" w:line="240" w:lineRule="auto"/>
        <w:ind w:firstLine="851"/>
        <w:jc w:val="center"/>
        <w:rPr>
          <w:rFonts w:ascii="Times New Roman" w:eastAsia="Calibri" w:hAnsi="Times New Roman" w:cs="Times New Roman"/>
          <w:b/>
          <w:bCs/>
        </w:rPr>
      </w:pPr>
      <w:r w:rsidRPr="00682323">
        <w:rPr>
          <w:rFonts w:ascii="Times New Roman" w:eastAsia="Calibri" w:hAnsi="Times New Roman" w:cs="Times New Roman"/>
          <w:b/>
          <w:bCs/>
        </w:rPr>
        <w:t>TECHNINĖ SPECIFIKACIJA</w:t>
      </w:r>
    </w:p>
    <w:p w14:paraId="4A53F7D7" w14:textId="77777777" w:rsidR="004A0C48" w:rsidRPr="00682323" w:rsidRDefault="004A0C48" w:rsidP="004A0C48">
      <w:pPr>
        <w:tabs>
          <w:tab w:val="left" w:pos="284"/>
        </w:tabs>
        <w:spacing w:after="0" w:line="240" w:lineRule="auto"/>
        <w:ind w:firstLine="851"/>
        <w:jc w:val="center"/>
        <w:rPr>
          <w:rFonts w:ascii="Times New Roman" w:eastAsia="Calibri" w:hAnsi="Times New Roman" w:cs="Times New Roman"/>
          <w:b/>
          <w:bCs/>
        </w:rPr>
      </w:pPr>
    </w:p>
    <w:p w14:paraId="1257D437" w14:textId="77777777" w:rsidR="004A0C48" w:rsidRPr="0068232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rPr>
      </w:pPr>
      <w:r w:rsidRPr="00682323">
        <w:rPr>
          <w:rFonts w:ascii="Times New Roman" w:eastAsia="Calibri" w:hAnsi="Times New Roman" w:cs="Times New Roman"/>
          <w:b/>
        </w:rPr>
        <w:t>SĄVOKOS IR SUTRUMPINIMAI</w:t>
      </w:r>
      <w:r w:rsidR="00B12E41">
        <w:rPr>
          <w:rFonts w:ascii="Times New Roman" w:eastAsia="Calibri" w:hAnsi="Times New Roman" w:cs="Times New Roman"/>
          <w:b/>
        </w:rPr>
        <w:t>/ BENDRA INFORMACIJA</w:t>
      </w:r>
    </w:p>
    <w:p w14:paraId="4E75050A" w14:textId="77777777" w:rsidR="004A0C48" w:rsidRPr="00682323"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682323">
        <w:rPr>
          <w:rFonts w:ascii="Times New Roman" w:eastAsia="Calibri" w:hAnsi="Times New Roman" w:cs="Times New Roman"/>
          <w:b/>
        </w:rPr>
        <w:t>Pirkėjas / P</w:t>
      </w:r>
      <w:r w:rsidR="00682323">
        <w:rPr>
          <w:rFonts w:ascii="Times New Roman" w:eastAsia="Calibri" w:hAnsi="Times New Roman" w:cs="Times New Roman"/>
          <w:b/>
        </w:rPr>
        <w:t>erkančioji organizacija</w:t>
      </w:r>
      <w:r w:rsidRPr="00682323">
        <w:rPr>
          <w:rFonts w:ascii="Times New Roman" w:eastAsia="Calibri" w:hAnsi="Times New Roman" w:cs="Times New Roman"/>
          <w:b/>
        </w:rPr>
        <w:t xml:space="preserve"> – </w:t>
      </w:r>
      <w:r w:rsidR="00682323">
        <w:rPr>
          <w:rFonts w:ascii="Times New Roman" w:eastAsia="Calibri" w:hAnsi="Times New Roman" w:cs="Times New Roman"/>
          <w:b/>
        </w:rPr>
        <w:t>V</w:t>
      </w:r>
      <w:r w:rsidR="00B06A26">
        <w:rPr>
          <w:rFonts w:ascii="Times New Roman" w:eastAsia="Calibri" w:hAnsi="Times New Roman" w:cs="Times New Roman"/>
          <w:b/>
        </w:rPr>
        <w:t>šĮ Vilniaus universitetas</w:t>
      </w:r>
    </w:p>
    <w:p w14:paraId="7A4F4046" w14:textId="77777777" w:rsidR="004A0C48" w:rsidRPr="00682323"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682323">
        <w:rPr>
          <w:rFonts w:ascii="Times New Roman" w:eastAsia="Calibri" w:hAnsi="Times New Roman" w:cs="Times New Roman"/>
          <w:b/>
          <w:bCs/>
        </w:rPr>
        <w:t>Tiekėjas</w:t>
      </w:r>
      <w:r w:rsidRPr="00682323">
        <w:rPr>
          <w:rFonts w:ascii="Times New Roman" w:eastAsia="Calibri" w:hAnsi="Times New Roman" w:cs="Times New Roman"/>
          <w:bCs/>
        </w:rPr>
        <w:t xml:space="preserve"> –</w:t>
      </w:r>
      <w:r w:rsidR="00F83FAA" w:rsidRPr="00682323">
        <w:rPr>
          <w:rFonts w:ascii="Times New Roman" w:eastAsia="Calibri" w:hAnsi="Times New Roman" w:cs="Times New Roman"/>
          <w:bCs/>
        </w:rPr>
        <w:t xml:space="preserve"> </w:t>
      </w:r>
      <w:r w:rsidR="009A4D65" w:rsidRPr="00682323">
        <w:rPr>
          <w:rFonts w:ascii="Times New Roman" w:hAnsi="Times New Roman" w:cs="Times New Roman"/>
          <w:color w:val="000000"/>
        </w:rPr>
        <w:t xml:space="preserve">ūkio subjektas – fizinis asmuo, privatusis ar viešasis juridinis asmuo, kita organizacija ir jų padalinys arba tokių asmenų grupė, įskaitant laikinas ūkio subjektų asociacijas, </w:t>
      </w:r>
      <w:r w:rsidR="009A4D65" w:rsidRPr="00682323">
        <w:rPr>
          <w:rFonts w:ascii="Times New Roman" w:eastAsia="Calibri" w:hAnsi="Times New Roman" w:cs="Times New Roman"/>
        </w:rPr>
        <w:t>su kuriuo Pirkėjas sudarys šio Pirkimo</w:t>
      </w:r>
      <w:r w:rsidRPr="00682323">
        <w:rPr>
          <w:rFonts w:ascii="Times New Roman" w:eastAsia="Calibri" w:hAnsi="Times New Roman" w:cs="Times New Roman"/>
        </w:rPr>
        <w:t xml:space="preserve"> sutartį.</w:t>
      </w:r>
      <w:r w:rsidR="009A4D65" w:rsidRPr="00682323">
        <w:rPr>
          <w:rFonts w:ascii="Times New Roman" w:hAnsi="Times New Roman" w:cs="Times New Roman"/>
          <w:color w:val="000000"/>
        </w:rPr>
        <w:t xml:space="preserve"> </w:t>
      </w:r>
    </w:p>
    <w:p w14:paraId="4D61AFFF" w14:textId="77777777" w:rsidR="004A0C48"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rPr>
      </w:pPr>
      <w:r w:rsidRPr="00682323">
        <w:rPr>
          <w:rFonts w:ascii="Times New Roman" w:eastAsia="Calibri" w:hAnsi="Times New Roman" w:cs="Times New Roman"/>
          <w:b/>
        </w:rPr>
        <w:t>Sutartis</w:t>
      </w:r>
      <w:r w:rsidRPr="00682323">
        <w:rPr>
          <w:rFonts w:ascii="Times New Roman" w:eastAsia="Calibri" w:hAnsi="Times New Roman" w:cs="Times New Roman"/>
        </w:rPr>
        <w:t xml:space="preserve"> – </w:t>
      </w:r>
      <w:r w:rsidR="009A4D65" w:rsidRPr="00682323">
        <w:rPr>
          <w:rFonts w:ascii="Times New Roman" w:eastAsia="Calibri" w:hAnsi="Times New Roman" w:cs="Times New Roman"/>
        </w:rPr>
        <w:t>P</w:t>
      </w:r>
      <w:r w:rsidRPr="00682323">
        <w:rPr>
          <w:rFonts w:ascii="Times New Roman" w:eastAsia="Calibri" w:hAnsi="Times New Roman" w:cs="Times New Roman"/>
        </w:rPr>
        <w:t>irkimo sutartis, sudaroma tarp Tiekėjo ir Pirkėjo dėl šio Pirkimo objekto.</w:t>
      </w:r>
    </w:p>
    <w:p w14:paraId="0064A2D8" w14:textId="77777777" w:rsidR="002C4223" w:rsidRPr="009206AE" w:rsidRDefault="002C4223" w:rsidP="002C4223">
      <w:pPr>
        <w:tabs>
          <w:tab w:val="left" w:pos="567"/>
          <w:tab w:val="left" w:pos="851"/>
        </w:tabs>
        <w:spacing w:after="0" w:line="240" w:lineRule="auto"/>
        <w:jc w:val="both"/>
        <w:rPr>
          <w:rFonts w:ascii="Times New Roman" w:eastAsia="Calibri" w:hAnsi="Times New Roman" w:cs="Times New Roman"/>
        </w:rPr>
      </w:pPr>
    </w:p>
    <w:p w14:paraId="2FC7E4C1" w14:textId="77777777" w:rsidR="004A0C48" w:rsidRPr="00682323"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rPr>
      </w:pPr>
      <w:r w:rsidRPr="00EF7DF5">
        <w:rPr>
          <w:rFonts w:ascii="Times New Roman" w:eastAsia="Calibri" w:hAnsi="Times New Roman" w:cs="Times New Roman"/>
          <w:b/>
          <w:shd w:val="clear" w:color="auto" w:fill="D9D9D9" w:themeFill="background1" w:themeFillShade="D9"/>
        </w:rPr>
        <w:t>PIRKIMO OBJEKTAS</w:t>
      </w:r>
    </w:p>
    <w:p w14:paraId="229F8101" w14:textId="18E37A80" w:rsidR="004A0C48" w:rsidRPr="00682323" w:rsidRDefault="004A0C48" w:rsidP="00212FAB">
      <w:pPr>
        <w:pStyle w:val="ListParagraph"/>
        <w:numPr>
          <w:ilvl w:val="1"/>
          <w:numId w:val="2"/>
        </w:numPr>
        <w:tabs>
          <w:tab w:val="left" w:pos="567"/>
        </w:tabs>
        <w:spacing w:after="0" w:line="240" w:lineRule="auto"/>
        <w:ind w:left="0" w:firstLine="0"/>
        <w:jc w:val="both"/>
        <w:rPr>
          <w:rFonts w:ascii="Times New Roman" w:hAnsi="Times New Roman" w:cs="Times New Roman"/>
        </w:rPr>
      </w:pPr>
      <w:r w:rsidRPr="00682323">
        <w:rPr>
          <w:rFonts w:ascii="Times New Roman" w:hAnsi="Times New Roman" w:cs="Times New Roman"/>
        </w:rPr>
        <w:t>Pirkimo objektas –</w:t>
      </w:r>
      <w:r w:rsidR="00400260">
        <w:rPr>
          <w:rFonts w:ascii="Times New Roman" w:hAnsi="Times New Roman" w:cs="Times New Roman"/>
        </w:rPr>
        <w:t xml:space="preserve"> Optinės galios matuoklių kompiuterinės sąsajos </w:t>
      </w:r>
      <w:r w:rsidRPr="00682323">
        <w:rPr>
          <w:rFonts w:ascii="Times New Roman" w:hAnsi="Times New Roman" w:cs="Times New Roman"/>
        </w:rPr>
        <w:t xml:space="preserve"> (toliau – </w:t>
      </w:r>
      <w:r w:rsidRPr="00736515">
        <w:rPr>
          <w:rFonts w:ascii="Times New Roman" w:hAnsi="Times New Roman" w:cs="Times New Roman"/>
        </w:rPr>
        <w:t>prekės</w:t>
      </w:r>
      <w:r w:rsidRPr="00682323">
        <w:rPr>
          <w:rFonts w:ascii="Times New Roman" w:hAnsi="Times New Roman" w:cs="Times New Roman"/>
        </w:rPr>
        <w:t>).</w:t>
      </w:r>
    </w:p>
    <w:p w14:paraId="5C24D0C3" w14:textId="77777777" w:rsidR="004A0C48" w:rsidRPr="00682323" w:rsidRDefault="004A0C48" w:rsidP="00212FAB">
      <w:pPr>
        <w:pStyle w:val="ListParagraph"/>
        <w:numPr>
          <w:ilvl w:val="1"/>
          <w:numId w:val="2"/>
        </w:numPr>
        <w:tabs>
          <w:tab w:val="left" w:pos="567"/>
        </w:tabs>
        <w:spacing w:after="0" w:line="240" w:lineRule="auto"/>
        <w:ind w:left="0" w:firstLine="0"/>
        <w:jc w:val="both"/>
        <w:rPr>
          <w:rFonts w:ascii="Times New Roman" w:hAnsi="Times New Roman" w:cs="Times New Roman"/>
        </w:rPr>
      </w:pPr>
      <w:r w:rsidRPr="00682323">
        <w:rPr>
          <w:rFonts w:ascii="Times New Roman" w:hAnsi="Times New Roman" w:cs="Times New Roman"/>
        </w:rPr>
        <w:t>Pirkimo objektas į pirkimo objekto dalis neskaidomas</w:t>
      </w:r>
      <w:r w:rsidR="00212FAB" w:rsidRPr="00682323">
        <w:rPr>
          <w:rFonts w:ascii="Times New Roman" w:hAnsi="Times New Roman" w:cs="Times New Roman"/>
        </w:rPr>
        <w:t>, todėl Tiekėjas privalo teikti pasiūlymą visai žemiau nurodytai pirkimo objekto apimčiai.</w:t>
      </w:r>
    </w:p>
    <w:p w14:paraId="0B9D6565" w14:textId="77777777" w:rsidR="00400260" w:rsidRPr="00400260" w:rsidRDefault="00C73886" w:rsidP="00904FF4">
      <w:pPr>
        <w:pStyle w:val="ListParagraph"/>
        <w:numPr>
          <w:ilvl w:val="1"/>
          <w:numId w:val="3"/>
        </w:numPr>
        <w:tabs>
          <w:tab w:val="left" w:pos="567"/>
        </w:tabs>
        <w:spacing w:after="0" w:line="240" w:lineRule="auto"/>
        <w:ind w:left="0" w:firstLine="0"/>
        <w:jc w:val="both"/>
        <w:rPr>
          <w:rFonts w:ascii="Times New Roman" w:hAnsi="Times New Roman" w:cs="Times New Roman"/>
          <w:i/>
          <w:color w:val="FF0000"/>
        </w:rPr>
      </w:pPr>
      <w:r w:rsidRPr="00400260">
        <w:rPr>
          <w:rFonts w:ascii="Times New Roman" w:hAnsi="Times New Roman" w:cs="Times New Roman"/>
        </w:rPr>
        <w:t>Prekių pristatymo</w:t>
      </w:r>
      <w:r w:rsidR="003D4EE1" w:rsidRPr="00400260">
        <w:rPr>
          <w:rFonts w:ascii="Times New Roman" w:hAnsi="Times New Roman" w:cs="Times New Roman"/>
        </w:rPr>
        <w:t xml:space="preserve"> vieta</w:t>
      </w:r>
      <w:r w:rsidR="00400260" w:rsidRPr="00400260">
        <w:rPr>
          <w:rFonts w:ascii="Times New Roman" w:hAnsi="Times New Roman" w:cs="Times New Roman"/>
        </w:rPr>
        <w:t>: VU Lazerinių tyrimų centras, Saulėtekio al. 10 , LT-10223, Vilnius</w:t>
      </w:r>
      <w:r w:rsidR="003D4EE1" w:rsidRPr="00400260">
        <w:rPr>
          <w:rFonts w:ascii="Times New Roman" w:hAnsi="Times New Roman" w:cs="Times New Roman"/>
        </w:rPr>
        <w:t xml:space="preserve"> </w:t>
      </w:r>
    </w:p>
    <w:p w14:paraId="40287320" w14:textId="174C651F" w:rsidR="004A0C48" w:rsidRPr="00400260" w:rsidRDefault="00DC79E6" w:rsidP="00904FF4">
      <w:pPr>
        <w:pStyle w:val="ListParagraph"/>
        <w:numPr>
          <w:ilvl w:val="1"/>
          <w:numId w:val="3"/>
        </w:numPr>
        <w:tabs>
          <w:tab w:val="left" w:pos="567"/>
        </w:tabs>
        <w:spacing w:after="0" w:line="240" w:lineRule="auto"/>
        <w:ind w:left="0" w:firstLine="0"/>
        <w:jc w:val="both"/>
        <w:rPr>
          <w:rFonts w:ascii="Times New Roman" w:hAnsi="Times New Roman" w:cs="Times New Roman"/>
          <w:i/>
          <w:color w:val="FF0000"/>
        </w:rPr>
      </w:pPr>
      <w:r w:rsidRPr="00400260">
        <w:rPr>
          <w:rFonts w:ascii="Times New Roman" w:hAnsi="Times New Roman" w:cs="Times New Roman"/>
        </w:rPr>
        <w:t xml:space="preserve"> Prekių</w:t>
      </w:r>
      <w:r w:rsidR="00245CBF" w:rsidRPr="00400260">
        <w:rPr>
          <w:rFonts w:ascii="Times New Roman" w:hAnsi="Times New Roman" w:cs="Times New Roman"/>
        </w:rPr>
        <w:t xml:space="preserve"> kiekiai</w:t>
      </w:r>
      <w:r w:rsidR="00400260">
        <w:rPr>
          <w:rFonts w:ascii="Times New Roman" w:hAnsi="Times New Roman" w:cs="Times New Roman"/>
        </w:rPr>
        <w:t>:</w:t>
      </w:r>
    </w:p>
    <w:p w14:paraId="6AD560C6" w14:textId="77777777" w:rsidR="00046A16" w:rsidRPr="00682323" w:rsidRDefault="00046A16" w:rsidP="004A0C48">
      <w:pPr>
        <w:spacing w:after="0" w:line="240" w:lineRule="auto"/>
        <w:jc w:val="both"/>
        <w:rPr>
          <w:rFonts w:ascii="Times New Roman" w:hAnsi="Times New Roman" w:cs="Times New Roman"/>
          <w:i/>
          <w:color w:val="FF0000"/>
        </w:rPr>
      </w:pPr>
    </w:p>
    <w:p w14:paraId="555B0A83" w14:textId="77777777" w:rsidR="004A0C48" w:rsidRPr="00682323" w:rsidRDefault="00CC3B99" w:rsidP="004A0C48">
      <w:pPr>
        <w:spacing w:after="0" w:line="240" w:lineRule="auto"/>
        <w:jc w:val="right"/>
        <w:rPr>
          <w:rFonts w:ascii="Times New Roman" w:hAnsi="Times New Roman" w:cs="Times New Roman"/>
          <w:b/>
        </w:rPr>
      </w:pPr>
      <w:r w:rsidRPr="00682323">
        <w:rPr>
          <w:rFonts w:ascii="Times New Roman" w:hAnsi="Times New Roman" w:cs="Times New Roman"/>
          <w:b/>
        </w:rPr>
        <w:t xml:space="preserve">1 lentelė. </w:t>
      </w:r>
    </w:p>
    <w:tbl>
      <w:tblPr>
        <w:tblStyle w:val="TableGrid"/>
        <w:tblW w:w="5000" w:type="pct"/>
        <w:jc w:val="center"/>
        <w:tblLook w:val="04A0" w:firstRow="1" w:lastRow="0" w:firstColumn="1" w:lastColumn="0" w:noHBand="0" w:noVBand="1"/>
      </w:tblPr>
      <w:tblGrid>
        <w:gridCol w:w="1216"/>
        <w:gridCol w:w="2540"/>
        <w:gridCol w:w="1535"/>
        <w:gridCol w:w="1268"/>
        <w:gridCol w:w="1219"/>
        <w:gridCol w:w="1850"/>
      </w:tblGrid>
      <w:tr w:rsidR="0043073D" w:rsidRPr="00682323" w14:paraId="6DB4DB1C" w14:textId="77777777" w:rsidTr="00400260">
        <w:trPr>
          <w:trHeight w:val="20"/>
          <w:jc w:val="center"/>
        </w:trPr>
        <w:tc>
          <w:tcPr>
            <w:tcW w:w="1216" w:type="dxa"/>
            <w:vMerge w:val="restart"/>
            <w:vAlign w:val="center"/>
          </w:tcPr>
          <w:p w14:paraId="20AF3209" w14:textId="77777777" w:rsidR="004D7ECA" w:rsidRPr="00682323" w:rsidRDefault="004D7ECA" w:rsidP="00890D1D">
            <w:pPr>
              <w:jc w:val="center"/>
              <w:rPr>
                <w:b/>
                <w:sz w:val="22"/>
                <w:szCs w:val="22"/>
              </w:rPr>
            </w:pPr>
            <w:r w:rsidRPr="00682323">
              <w:rPr>
                <w:b/>
                <w:sz w:val="22"/>
                <w:szCs w:val="22"/>
              </w:rPr>
              <w:t>Eil. Nr.</w:t>
            </w:r>
          </w:p>
        </w:tc>
        <w:tc>
          <w:tcPr>
            <w:tcW w:w="2540" w:type="dxa"/>
            <w:vMerge w:val="restart"/>
            <w:vAlign w:val="center"/>
          </w:tcPr>
          <w:p w14:paraId="7C1F5311" w14:textId="77777777" w:rsidR="004D7ECA" w:rsidRPr="00682323" w:rsidRDefault="004D7ECA" w:rsidP="00890D1D">
            <w:pPr>
              <w:jc w:val="center"/>
              <w:rPr>
                <w:b/>
                <w:sz w:val="22"/>
                <w:szCs w:val="22"/>
              </w:rPr>
            </w:pPr>
            <w:r w:rsidRPr="00682323">
              <w:rPr>
                <w:b/>
                <w:sz w:val="22"/>
                <w:szCs w:val="22"/>
              </w:rPr>
              <w:t>Prekės pavadinimas</w:t>
            </w:r>
          </w:p>
        </w:tc>
        <w:tc>
          <w:tcPr>
            <w:tcW w:w="1535" w:type="dxa"/>
            <w:vMerge w:val="restart"/>
            <w:vAlign w:val="center"/>
          </w:tcPr>
          <w:p w14:paraId="58C29E2C" w14:textId="17D98C45" w:rsidR="004D7ECA" w:rsidRPr="00682323" w:rsidRDefault="004D7ECA" w:rsidP="00890D1D">
            <w:pPr>
              <w:jc w:val="center"/>
              <w:rPr>
                <w:b/>
                <w:sz w:val="22"/>
                <w:szCs w:val="22"/>
              </w:rPr>
            </w:pPr>
            <w:r w:rsidRPr="00736515">
              <w:rPr>
                <w:b/>
              </w:rPr>
              <w:t xml:space="preserve">Prekių </w:t>
            </w:r>
            <w:r w:rsidR="004A5BDE" w:rsidRPr="00736515">
              <w:rPr>
                <w:b/>
              </w:rPr>
              <w:t xml:space="preserve">kiekis </w:t>
            </w:r>
            <w:r w:rsidR="00F03619" w:rsidRPr="00736515">
              <w:rPr>
                <w:b/>
              </w:rPr>
              <w:t xml:space="preserve">ir mato vnt. </w:t>
            </w:r>
          </w:p>
        </w:tc>
        <w:tc>
          <w:tcPr>
            <w:tcW w:w="2487" w:type="dxa"/>
            <w:gridSpan w:val="2"/>
            <w:tcBorders>
              <w:bottom w:val="single" w:sz="4" w:space="0" w:color="auto"/>
            </w:tcBorders>
            <w:vAlign w:val="center"/>
          </w:tcPr>
          <w:p w14:paraId="3D3AE683" w14:textId="77777777" w:rsidR="004D7ECA" w:rsidRPr="00682323" w:rsidRDefault="004D7ECA" w:rsidP="00890D1D">
            <w:pPr>
              <w:jc w:val="center"/>
              <w:rPr>
                <w:b/>
                <w:sz w:val="22"/>
                <w:szCs w:val="22"/>
              </w:rPr>
            </w:pPr>
            <w:r w:rsidRPr="00682323">
              <w:rPr>
                <w:b/>
                <w:sz w:val="22"/>
                <w:szCs w:val="22"/>
              </w:rPr>
              <w:t>Užsakymų teikimas</w:t>
            </w:r>
          </w:p>
        </w:tc>
        <w:tc>
          <w:tcPr>
            <w:tcW w:w="1850" w:type="dxa"/>
            <w:vMerge w:val="restart"/>
            <w:vAlign w:val="center"/>
          </w:tcPr>
          <w:p w14:paraId="17A9F1FB" w14:textId="0EFCBD8F" w:rsidR="004D7ECA" w:rsidRPr="00682323" w:rsidRDefault="004D7ECA" w:rsidP="00890D1D">
            <w:pPr>
              <w:jc w:val="center"/>
              <w:rPr>
                <w:b/>
                <w:sz w:val="22"/>
                <w:szCs w:val="22"/>
              </w:rPr>
            </w:pPr>
            <w:r w:rsidRPr="0028500C">
              <w:rPr>
                <w:b/>
              </w:rPr>
              <w:t>Prekių pristatymo</w:t>
            </w:r>
            <w:r w:rsidR="005B21AE" w:rsidRPr="0028500C">
              <w:rPr>
                <w:b/>
              </w:rPr>
              <w:t>/tiekimo</w:t>
            </w:r>
            <w:r w:rsidRPr="0028500C">
              <w:rPr>
                <w:b/>
              </w:rPr>
              <w:t xml:space="preserve"> terminas nuo užsakymo pateikimo </w:t>
            </w:r>
          </w:p>
        </w:tc>
      </w:tr>
      <w:tr w:rsidR="0043073D" w:rsidRPr="00682323" w14:paraId="05E1D5A6" w14:textId="77777777" w:rsidTr="00400260">
        <w:trPr>
          <w:trHeight w:val="2044"/>
          <w:jc w:val="center"/>
        </w:trPr>
        <w:tc>
          <w:tcPr>
            <w:tcW w:w="1216" w:type="dxa"/>
            <w:vMerge/>
            <w:vAlign w:val="center"/>
          </w:tcPr>
          <w:p w14:paraId="4E46B277" w14:textId="77777777" w:rsidR="004D7ECA" w:rsidRPr="00682323" w:rsidRDefault="004D7ECA" w:rsidP="00890D1D">
            <w:pPr>
              <w:jc w:val="center"/>
              <w:rPr>
                <w:sz w:val="22"/>
                <w:szCs w:val="22"/>
              </w:rPr>
            </w:pPr>
          </w:p>
        </w:tc>
        <w:tc>
          <w:tcPr>
            <w:tcW w:w="2540" w:type="dxa"/>
            <w:vMerge/>
            <w:vAlign w:val="center"/>
          </w:tcPr>
          <w:p w14:paraId="09394B49" w14:textId="77777777" w:rsidR="004D7ECA" w:rsidRPr="00682323" w:rsidRDefault="004D7ECA" w:rsidP="00890D1D">
            <w:pPr>
              <w:jc w:val="center"/>
              <w:rPr>
                <w:sz w:val="22"/>
                <w:szCs w:val="22"/>
              </w:rPr>
            </w:pPr>
          </w:p>
        </w:tc>
        <w:tc>
          <w:tcPr>
            <w:tcW w:w="1535" w:type="dxa"/>
            <w:vMerge/>
            <w:vAlign w:val="center"/>
          </w:tcPr>
          <w:p w14:paraId="7609F101" w14:textId="77777777" w:rsidR="004D7ECA" w:rsidRPr="00682323" w:rsidRDefault="004D7ECA" w:rsidP="00890D1D">
            <w:pPr>
              <w:jc w:val="center"/>
              <w:rPr>
                <w:sz w:val="22"/>
                <w:szCs w:val="22"/>
              </w:rPr>
            </w:pPr>
          </w:p>
        </w:tc>
        <w:tc>
          <w:tcPr>
            <w:tcW w:w="1268" w:type="dxa"/>
            <w:tcBorders>
              <w:top w:val="single" w:sz="4" w:space="0" w:color="auto"/>
              <w:right w:val="single" w:sz="4" w:space="0" w:color="auto"/>
            </w:tcBorders>
            <w:vAlign w:val="center"/>
          </w:tcPr>
          <w:p w14:paraId="766FAA1F" w14:textId="0EDC20B6" w:rsidR="004D7ECA" w:rsidRPr="00682323" w:rsidRDefault="004D7ECA" w:rsidP="00DC79E6">
            <w:pPr>
              <w:jc w:val="center"/>
              <w:rPr>
                <w:b/>
                <w:sz w:val="22"/>
                <w:szCs w:val="22"/>
              </w:rPr>
            </w:pPr>
            <w:r w:rsidRPr="00682323">
              <w:rPr>
                <w:b/>
                <w:sz w:val="22"/>
                <w:szCs w:val="22"/>
              </w:rPr>
              <w:t>Taip</w:t>
            </w:r>
            <w:r w:rsidR="00094A35" w:rsidRPr="00682323">
              <w:rPr>
                <w:b/>
                <w:sz w:val="22"/>
                <w:szCs w:val="22"/>
              </w:rPr>
              <w:t xml:space="preserve"> (žymėti, jei prekių užsakymai bus teikiami pagal poreikį, periodiškai ar kt.)</w:t>
            </w:r>
            <w:r w:rsidR="005C460D" w:rsidRPr="00736515">
              <w:rPr>
                <w:b/>
                <w:color w:val="FF0000"/>
              </w:rPr>
              <w:t>*</w:t>
            </w:r>
            <w:r w:rsidR="00C73886" w:rsidRPr="00736515">
              <w:rPr>
                <w:b/>
                <w:color w:val="FF0000"/>
              </w:rPr>
              <w:t>*</w:t>
            </w:r>
          </w:p>
        </w:tc>
        <w:tc>
          <w:tcPr>
            <w:tcW w:w="1219" w:type="dxa"/>
            <w:tcBorders>
              <w:top w:val="single" w:sz="4" w:space="0" w:color="auto"/>
              <w:left w:val="single" w:sz="4" w:space="0" w:color="auto"/>
            </w:tcBorders>
            <w:vAlign w:val="center"/>
          </w:tcPr>
          <w:p w14:paraId="34DE63B8" w14:textId="0FE6F2AF" w:rsidR="004D7ECA" w:rsidRPr="00682323" w:rsidRDefault="004D7ECA" w:rsidP="00094A35">
            <w:pPr>
              <w:jc w:val="center"/>
              <w:rPr>
                <w:b/>
                <w:sz w:val="22"/>
                <w:szCs w:val="22"/>
              </w:rPr>
            </w:pPr>
            <w:r w:rsidRPr="00682323">
              <w:rPr>
                <w:b/>
                <w:sz w:val="22"/>
                <w:szCs w:val="22"/>
              </w:rPr>
              <w:t>Ne</w:t>
            </w:r>
            <w:r w:rsidR="00094A35" w:rsidRPr="00682323">
              <w:rPr>
                <w:b/>
                <w:sz w:val="22"/>
                <w:szCs w:val="22"/>
              </w:rPr>
              <w:t xml:space="preserve"> (žymėti, jei </w:t>
            </w:r>
            <w:r w:rsidR="0043073D" w:rsidRPr="00682323">
              <w:rPr>
                <w:b/>
                <w:sz w:val="22"/>
                <w:szCs w:val="22"/>
              </w:rPr>
              <w:t>nurodytu laiku bus pristatytas visas perkamas prekių kiekis</w:t>
            </w:r>
            <w:r w:rsidR="00094A35" w:rsidRPr="00682323">
              <w:rPr>
                <w:b/>
                <w:sz w:val="22"/>
                <w:szCs w:val="22"/>
              </w:rPr>
              <w:t>)</w:t>
            </w:r>
            <w:r w:rsidR="005C460D" w:rsidRPr="00736515">
              <w:rPr>
                <w:b/>
                <w:color w:val="FF0000"/>
              </w:rPr>
              <w:t>*</w:t>
            </w:r>
          </w:p>
        </w:tc>
        <w:tc>
          <w:tcPr>
            <w:tcW w:w="1850" w:type="dxa"/>
            <w:vMerge/>
            <w:vAlign w:val="center"/>
          </w:tcPr>
          <w:p w14:paraId="52A45871" w14:textId="77777777" w:rsidR="004D7ECA" w:rsidRPr="00682323" w:rsidRDefault="004D7ECA" w:rsidP="00890D1D">
            <w:pPr>
              <w:jc w:val="center"/>
              <w:rPr>
                <w:sz w:val="22"/>
                <w:szCs w:val="22"/>
              </w:rPr>
            </w:pPr>
          </w:p>
        </w:tc>
      </w:tr>
      <w:tr w:rsidR="0043073D" w:rsidRPr="00682323" w14:paraId="2DF177F6" w14:textId="77777777" w:rsidTr="00400260">
        <w:trPr>
          <w:trHeight w:val="20"/>
          <w:jc w:val="center"/>
        </w:trPr>
        <w:tc>
          <w:tcPr>
            <w:tcW w:w="1216" w:type="dxa"/>
          </w:tcPr>
          <w:p w14:paraId="43CDF8AD" w14:textId="77777777" w:rsidR="004D7ECA" w:rsidRPr="00682323" w:rsidRDefault="004D7ECA" w:rsidP="00890D1D">
            <w:pPr>
              <w:ind w:firstLine="313"/>
              <w:rPr>
                <w:sz w:val="22"/>
                <w:szCs w:val="22"/>
              </w:rPr>
            </w:pPr>
            <w:r w:rsidRPr="00682323">
              <w:rPr>
                <w:sz w:val="22"/>
                <w:szCs w:val="22"/>
              </w:rPr>
              <w:t>1.</w:t>
            </w:r>
          </w:p>
        </w:tc>
        <w:tc>
          <w:tcPr>
            <w:tcW w:w="2540" w:type="dxa"/>
            <w:vAlign w:val="center"/>
          </w:tcPr>
          <w:p w14:paraId="4FC9E79A" w14:textId="698F52B5" w:rsidR="004D7ECA" w:rsidRPr="00400260" w:rsidRDefault="00400260" w:rsidP="00736515">
            <w:pPr>
              <w:ind w:hanging="38"/>
              <w:jc w:val="center"/>
              <w:rPr>
                <w:color w:val="FF0000"/>
                <w:sz w:val="24"/>
                <w:szCs w:val="24"/>
              </w:rPr>
            </w:pPr>
            <w:r w:rsidRPr="00400260">
              <w:rPr>
                <w:sz w:val="24"/>
                <w:szCs w:val="24"/>
              </w:rPr>
              <w:t>Optinės galios matuoklių kompiuterinė sąsaj</w:t>
            </w:r>
            <w:r>
              <w:rPr>
                <w:sz w:val="24"/>
                <w:szCs w:val="24"/>
              </w:rPr>
              <w:t>a</w:t>
            </w:r>
          </w:p>
        </w:tc>
        <w:tc>
          <w:tcPr>
            <w:tcW w:w="1535" w:type="dxa"/>
            <w:vAlign w:val="center"/>
          </w:tcPr>
          <w:p w14:paraId="0FC6E839" w14:textId="1EBC122D" w:rsidR="004D7ECA" w:rsidRPr="00400260" w:rsidRDefault="00400260" w:rsidP="00736515">
            <w:pPr>
              <w:ind w:hanging="16"/>
              <w:jc w:val="center"/>
              <w:rPr>
                <w:sz w:val="22"/>
                <w:szCs w:val="22"/>
              </w:rPr>
            </w:pPr>
            <w:r>
              <w:rPr>
                <w:sz w:val="22"/>
                <w:szCs w:val="22"/>
              </w:rPr>
              <w:t>3 vnt.</w:t>
            </w:r>
          </w:p>
        </w:tc>
        <w:sdt>
          <w:sdt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5EAE1D28" w:rsidR="004D7ECA" w:rsidRPr="00736515" w:rsidRDefault="005F4D06" w:rsidP="004D7ECA">
                <w:pPr>
                  <w:jc w:val="center"/>
                  <w:rPr>
                    <w:sz w:val="22"/>
                    <w:szCs w:val="22"/>
                  </w:rPr>
                </w:pPr>
                <w:r>
                  <w:rPr>
                    <w:rFonts w:ascii="MS Gothic" w:eastAsia="MS Gothic" w:hAnsi="MS Gothic" w:hint="eastAsia"/>
                    <w:sz w:val="22"/>
                    <w:szCs w:val="22"/>
                  </w:rPr>
                  <w:t>☐</w:t>
                </w:r>
              </w:p>
            </w:tc>
          </w:sdtContent>
        </w:sdt>
        <w:sdt>
          <w:sdt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494E1643" w:rsidR="004D7ECA" w:rsidRPr="00736515" w:rsidRDefault="00400260" w:rsidP="004D7ECA">
                <w:pPr>
                  <w:jc w:val="center"/>
                  <w:rPr>
                    <w:sz w:val="22"/>
                    <w:szCs w:val="22"/>
                  </w:rPr>
                </w:pPr>
                <w:r>
                  <w:rPr>
                    <w:rFonts w:ascii="MS Gothic" w:eastAsia="MS Gothic" w:hAnsi="MS Gothic" w:hint="eastAsia"/>
                  </w:rPr>
                  <w:t>☒</w:t>
                </w:r>
              </w:p>
            </w:tc>
          </w:sdtContent>
        </w:sdt>
        <w:tc>
          <w:tcPr>
            <w:tcW w:w="1850" w:type="dxa"/>
            <w:vAlign w:val="center"/>
          </w:tcPr>
          <w:p w14:paraId="3F80094C" w14:textId="3990AAB8" w:rsidR="004D7ECA" w:rsidRPr="00400260" w:rsidRDefault="00400260" w:rsidP="00736515">
            <w:pPr>
              <w:ind w:hanging="16"/>
              <w:jc w:val="center"/>
              <w:rPr>
                <w:color w:val="FF0000"/>
                <w:sz w:val="24"/>
                <w:szCs w:val="24"/>
              </w:rPr>
            </w:pPr>
            <w:r w:rsidRPr="00400260">
              <w:rPr>
                <w:sz w:val="24"/>
                <w:szCs w:val="24"/>
              </w:rPr>
              <w:t xml:space="preserve">56 </w:t>
            </w:r>
            <w:r w:rsidR="006E1D1A" w:rsidRPr="00400260">
              <w:rPr>
                <w:sz w:val="24"/>
                <w:szCs w:val="24"/>
              </w:rPr>
              <w:t xml:space="preserve"> </w:t>
            </w:r>
            <w:proofErr w:type="spellStart"/>
            <w:r w:rsidR="006E1D1A" w:rsidRPr="00400260">
              <w:rPr>
                <w:sz w:val="24"/>
                <w:szCs w:val="24"/>
              </w:rPr>
              <w:t>k.d</w:t>
            </w:r>
            <w:proofErr w:type="spellEnd"/>
            <w:r w:rsidR="006E1D1A" w:rsidRPr="00400260">
              <w:rPr>
                <w:sz w:val="24"/>
                <w:szCs w:val="24"/>
              </w:rPr>
              <w:t>.</w:t>
            </w:r>
            <w:r w:rsidR="006E1D1A" w:rsidRPr="00400260">
              <w:rPr>
                <w:color w:val="FF0000"/>
                <w:sz w:val="24"/>
                <w:szCs w:val="24"/>
              </w:rPr>
              <w:t xml:space="preserve"> </w:t>
            </w:r>
          </w:p>
        </w:tc>
      </w:tr>
    </w:tbl>
    <w:p w14:paraId="69B8FEFB" w14:textId="77777777" w:rsidR="004A0C48" w:rsidRPr="00682323" w:rsidRDefault="004A0C48" w:rsidP="004A0C48">
      <w:pPr>
        <w:spacing w:after="0" w:line="240" w:lineRule="auto"/>
        <w:ind w:firstLine="851"/>
        <w:jc w:val="both"/>
        <w:rPr>
          <w:rFonts w:ascii="Times New Roman" w:hAnsi="Times New Roman" w:cs="Times New Roman"/>
        </w:rPr>
      </w:pPr>
    </w:p>
    <w:p w14:paraId="16D27CF7" w14:textId="6B9FEF3B" w:rsidR="004A0C48" w:rsidRPr="00682323" w:rsidRDefault="004A0C48" w:rsidP="00736515">
      <w:pPr>
        <w:pStyle w:val="ListParagraph"/>
        <w:numPr>
          <w:ilvl w:val="1"/>
          <w:numId w:val="3"/>
        </w:numPr>
        <w:tabs>
          <w:tab w:val="left" w:pos="426"/>
        </w:tabs>
        <w:spacing w:after="0" w:line="240" w:lineRule="auto"/>
        <w:ind w:left="0" w:firstLine="0"/>
        <w:jc w:val="both"/>
        <w:rPr>
          <w:rFonts w:ascii="Times New Roman" w:hAnsi="Times New Roman" w:cs="Times New Roman"/>
        </w:rPr>
      </w:pPr>
      <w:r w:rsidRPr="00682323">
        <w:rPr>
          <w:rFonts w:ascii="Times New Roman" w:hAnsi="Times New Roman" w:cs="Times New Roman"/>
        </w:rPr>
        <w:t xml:space="preserve">Aukščiau esančioje lentelėje </w:t>
      </w:r>
      <w:r w:rsidRPr="00736515">
        <w:rPr>
          <w:rFonts w:ascii="Times New Roman" w:hAnsi="Times New Roman" w:cs="Times New Roman"/>
        </w:rPr>
        <w:t xml:space="preserve">nurodytas prekių kiekis yra tikslus </w:t>
      </w:r>
      <w:r w:rsidRPr="00682323">
        <w:rPr>
          <w:rFonts w:ascii="Times New Roman" w:hAnsi="Times New Roman" w:cs="Times New Roman"/>
        </w:rPr>
        <w:t>ir vykdant Sutartį nesikeis.</w:t>
      </w:r>
    </w:p>
    <w:p w14:paraId="6CC54D6C" w14:textId="4E061A8D" w:rsidR="004B55FF" w:rsidRPr="0070330A" w:rsidRDefault="004A0C48" w:rsidP="00400260">
      <w:pPr>
        <w:pStyle w:val="ListParagraph"/>
        <w:numPr>
          <w:ilvl w:val="1"/>
          <w:numId w:val="11"/>
        </w:numPr>
        <w:tabs>
          <w:tab w:val="left" w:pos="567"/>
        </w:tabs>
        <w:spacing w:after="0" w:line="240" w:lineRule="auto"/>
        <w:jc w:val="both"/>
        <w:rPr>
          <w:rFonts w:ascii="Times New Roman" w:hAnsi="Times New Roman" w:cs="Times New Roman"/>
        </w:rPr>
      </w:pPr>
      <w:r w:rsidRPr="0070330A">
        <w:rPr>
          <w:rFonts w:ascii="Times New Roman" w:hAnsi="Times New Roman" w:cs="Times New Roman"/>
        </w:rPr>
        <w:t>Užsakymų teikimo tvarka</w:t>
      </w:r>
      <w:r w:rsidR="004B55FF" w:rsidRPr="0070330A">
        <w:rPr>
          <w:rFonts w:ascii="Times New Roman" w:hAnsi="Times New Roman" w:cs="Times New Roman"/>
        </w:rPr>
        <w:t>:</w:t>
      </w:r>
    </w:p>
    <w:p w14:paraId="6838152E" w14:textId="6235293E" w:rsidR="00046A16" w:rsidRPr="00682323" w:rsidRDefault="004A0C48" w:rsidP="0070330A">
      <w:pPr>
        <w:pStyle w:val="ListParagraph"/>
        <w:numPr>
          <w:ilvl w:val="2"/>
          <w:numId w:val="11"/>
        </w:numPr>
        <w:tabs>
          <w:tab w:val="left" w:pos="567"/>
        </w:tabs>
        <w:spacing w:after="0" w:line="240" w:lineRule="auto"/>
        <w:ind w:left="0" w:firstLine="0"/>
        <w:jc w:val="both"/>
        <w:rPr>
          <w:rFonts w:ascii="Times New Roman" w:hAnsi="Times New Roman" w:cs="Times New Roman"/>
        </w:rPr>
      </w:pPr>
      <w:r w:rsidRPr="00682323">
        <w:rPr>
          <w:rFonts w:ascii="Times New Roman" w:hAnsi="Times New Roman" w:cs="Times New Roman"/>
        </w:rPr>
        <w:t xml:space="preserve"> </w:t>
      </w:r>
      <w:r w:rsidR="004B55FF" w:rsidRPr="00682323">
        <w:rPr>
          <w:rFonts w:ascii="Times New Roman" w:hAnsi="Times New Roman" w:cs="Times New Roman"/>
        </w:rPr>
        <w:t>u</w:t>
      </w:r>
      <w:r w:rsidRPr="00682323">
        <w:rPr>
          <w:rFonts w:ascii="Times New Roman" w:hAnsi="Times New Roman" w:cs="Times New Roman"/>
        </w:rPr>
        <w:t xml:space="preserve">žsakymai </w:t>
      </w:r>
      <w:r w:rsidR="00046A16" w:rsidRPr="00682323">
        <w:rPr>
          <w:rFonts w:ascii="Times New Roman" w:hAnsi="Times New Roman" w:cs="Times New Roman"/>
        </w:rPr>
        <w:t>Sutarties galiojimo laikotarpi</w:t>
      </w:r>
      <w:r w:rsidR="00E30CF3" w:rsidRPr="00682323">
        <w:rPr>
          <w:rFonts w:ascii="Times New Roman" w:hAnsi="Times New Roman" w:cs="Times New Roman"/>
        </w:rPr>
        <w:t>u</w:t>
      </w:r>
      <w:r w:rsidR="00046A16" w:rsidRPr="00682323">
        <w:rPr>
          <w:rFonts w:ascii="Times New Roman" w:hAnsi="Times New Roman" w:cs="Times New Roman"/>
        </w:rPr>
        <w:t xml:space="preserve"> </w:t>
      </w:r>
      <w:r w:rsidRPr="00682323">
        <w:rPr>
          <w:rFonts w:ascii="Times New Roman" w:hAnsi="Times New Roman" w:cs="Times New Roman"/>
          <w:u w:val="single"/>
        </w:rPr>
        <w:t>neteikiami</w:t>
      </w:r>
      <w:r w:rsidR="00046A16" w:rsidRPr="00682323">
        <w:rPr>
          <w:rFonts w:ascii="Times New Roman" w:hAnsi="Times New Roman" w:cs="Times New Roman"/>
        </w:rPr>
        <w:t>.</w:t>
      </w:r>
      <w:r w:rsidR="003D4EE1" w:rsidRPr="00682323">
        <w:rPr>
          <w:rFonts w:ascii="Times New Roman" w:hAnsi="Times New Roman" w:cs="Times New Roman"/>
        </w:rPr>
        <w:t xml:space="preserve"> Tiekėjas nuo Sutarties įsigaliojimo per </w:t>
      </w:r>
      <w:r w:rsidR="00400260" w:rsidRPr="00400260">
        <w:rPr>
          <w:rFonts w:ascii="Times New Roman" w:hAnsi="Times New Roman" w:cs="Times New Roman"/>
        </w:rPr>
        <w:t>56</w:t>
      </w:r>
      <w:r w:rsidR="00314040" w:rsidRPr="00400260">
        <w:rPr>
          <w:rFonts w:ascii="Times New Roman" w:hAnsi="Times New Roman" w:cs="Times New Roman"/>
        </w:rPr>
        <w:t xml:space="preserve"> kalendorinių dienų</w:t>
      </w:r>
      <w:r w:rsidR="00314040" w:rsidRPr="00682323">
        <w:rPr>
          <w:rFonts w:ascii="Times New Roman" w:hAnsi="Times New Roman" w:cs="Times New Roman"/>
          <w:color w:val="00B0F0"/>
        </w:rPr>
        <w:t xml:space="preserve"> </w:t>
      </w:r>
      <w:r w:rsidR="00314040" w:rsidRPr="00682323">
        <w:rPr>
          <w:rFonts w:ascii="Times New Roman" w:hAnsi="Times New Roman" w:cs="Times New Roman"/>
        </w:rPr>
        <w:t xml:space="preserve">įsipareigoja </w:t>
      </w:r>
      <w:r w:rsidR="00314040" w:rsidRPr="0070330A">
        <w:rPr>
          <w:rFonts w:ascii="Times New Roman" w:hAnsi="Times New Roman" w:cs="Times New Roman"/>
        </w:rPr>
        <w:t>pristatyti prekes</w:t>
      </w:r>
      <w:r w:rsidR="00314040" w:rsidRPr="00682323">
        <w:rPr>
          <w:rFonts w:ascii="Times New Roman" w:hAnsi="Times New Roman" w:cs="Times New Roman"/>
        </w:rPr>
        <w:t>.</w:t>
      </w:r>
      <w:r w:rsidR="004B55FF" w:rsidRPr="00682323">
        <w:rPr>
          <w:rFonts w:ascii="Times New Roman" w:hAnsi="Times New Roman" w:cs="Times New Roman"/>
        </w:rPr>
        <w:t xml:space="preserve"> Prekės turi būti pristatytos</w:t>
      </w:r>
      <w:r w:rsidR="00F80412">
        <w:rPr>
          <w:rFonts w:ascii="Times New Roman" w:hAnsi="Times New Roman" w:cs="Times New Roman"/>
        </w:rPr>
        <w:t xml:space="preserve"> pagal 1 lentelėje nustatytą terminą.</w:t>
      </w:r>
    </w:p>
    <w:p w14:paraId="6A9DFA4A" w14:textId="77777777" w:rsidR="004A0C48" w:rsidRPr="00682323" w:rsidRDefault="004A0C48" w:rsidP="004A0C48">
      <w:pPr>
        <w:tabs>
          <w:tab w:val="left" w:pos="709"/>
        </w:tabs>
        <w:spacing w:after="0" w:line="240" w:lineRule="auto"/>
        <w:ind w:firstLine="851"/>
        <w:contextualSpacing/>
        <w:rPr>
          <w:rFonts w:ascii="Times New Roman" w:eastAsia="Calibri" w:hAnsi="Times New Roman" w:cs="Times New Roman"/>
          <w:b/>
        </w:rPr>
      </w:pPr>
    </w:p>
    <w:p w14:paraId="63C1A391" w14:textId="5CC59D9E" w:rsidR="004A0C48" w:rsidRPr="00682323"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rPr>
      </w:pPr>
      <w:r w:rsidRPr="0070330A">
        <w:rPr>
          <w:rFonts w:ascii="Times New Roman" w:eastAsia="Calibri" w:hAnsi="Times New Roman" w:cs="Times New Roman"/>
          <w:b/>
        </w:rPr>
        <w:t>REIKALAVIMAI PREKĖMS</w:t>
      </w:r>
    </w:p>
    <w:p w14:paraId="0249C79D" w14:textId="573B2131" w:rsidR="002D5BBD" w:rsidRPr="00400260" w:rsidRDefault="002D5BBD" w:rsidP="002D5BBD">
      <w:pPr>
        <w:spacing w:after="0" w:line="240" w:lineRule="auto"/>
        <w:jc w:val="both"/>
        <w:rPr>
          <w:rFonts w:ascii="Times New Roman" w:eastAsia="Calibri" w:hAnsi="Times New Roman" w:cs="Times New Roman"/>
        </w:rPr>
      </w:pPr>
      <w:r w:rsidRPr="002D5BBD">
        <w:rPr>
          <w:rFonts w:ascii="Times New Roman" w:eastAsia="Calibri" w:hAnsi="Times New Roman" w:cs="Times New Roman"/>
        </w:rPr>
        <w:t xml:space="preserve">3.1. Jei pirkimo dokumentuose naudojami konkretūs modeliai ar šaltiniai, konkretūs procesai ar prekės ženklai, patentai, tipai, konkreti kilmė ar gamyba ir pan., jie gali būti pakeisti </w:t>
      </w:r>
      <w:r w:rsidRPr="0070330A">
        <w:rPr>
          <w:rFonts w:ascii="Times New Roman" w:eastAsia="Calibri" w:hAnsi="Times New Roman" w:cs="Times New Roman"/>
        </w:rPr>
        <w:t>lygiaverčiais.</w:t>
      </w:r>
      <w:r w:rsidR="00455D3D">
        <w:rPr>
          <w:rStyle w:val="FootnoteReference"/>
          <w:rFonts w:ascii="Times New Roman" w:eastAsia="Calibri" w:hAnsi="Times New Roman" w:cs="Times New Roman"/>
        </w:rPr>
        <w:footnoteReference w:id="1"/>
      </w:r>
    </w:p>
    <w:p w14:paraId="639B898E" w14:textId="4EAD4F3D" w:rsidR="007249E8" w:rsidRPr="0070330A" w:rsidRDefault="007249E8" w:rsidP="00F2412D">
      <w:pPr>
        <w:spacing w:after="0" w:line="240" w:lineRule="auto"/>
        <w:ind w:firstLine="851"/>
        <w:jc w:val="center"/>
        <w:rPr>
          <w:rFonts w:ascii="Times New Roman" w:eastAsia="Calibri" w:hAnsi="Times New Roman" w:cs="Times New Roman"/>
          <w:b/>
          <w:i/>
          <w:iCs/>
          <w:color w:val="00B0F0"/>
        </w:rPr>
      </w:pPr>
    </w:p>
    <w:p w14:paraId="637B9013" w14:textId="363806A1" w:rsidR="004A0C48" w:rsidRPr="00682323" w:rsidRDefault="00CC3B99" w:rsidP="004A0C48">
      <w:pPr>
        <w:spacing w:after="0" w:line="240" w:lineRule="auto"/>
        <w:ind w:firstLine="851"/>
        <w:jc w:val="right"/>
        <w:rPr>
          <w:rFonts w:ascii="Times New Roman" w:eastAsia="Calibri" w:hAnsi="Times New Roman" w:cs="Times New Roman"/>
          <w:b/>
        </w:rPr>
      </w:pPr>
      <w:r w:rsidRPr="00682323">
        <w:rPr>
          <w:rFonts w:ascii="Times New Roman" w:eastAsia="Calibri" w:hAnsi="Times New Roman" w:cs="Times New Roman"/>
          <w:b/>
        </w:rPr>
        <w:t>2 lentelė</w:t>
      </w:r>
      <w:r w:rsidR="00DB7B5F">
        <w:rPr>
          <w:rFonts w:ascii="Times New Roman" w:eastAsia="Calibri" w:hAnsi="Times New Roman" w:cs="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026"/>
        <w:gridCol w:w="3029"/>
        <w:gridCol w:w="3033"/>
      </w:tblGrid>
      <w:tr w:rsidR="007249E8" w:rsidRPr="007249E8" w14:paraId="3DBC9E19" w14:textId="045F32DE" w:rsidTr="00F2412D">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F2412D" w:rsidRDefault="007249E8" w:rsidP="00890D1D">
            <w:pPr>
              <w:jc w:val="center"/>
              <w:rPr>
                <w:rFonts w:ascii="Times New Roman" w:hAnsi="Times New Roman" w:cs="Times New Roman"/>
                <w:b/>
                <w:color w:val="000000"/>
              </w:rPr>
            </w:pPr>
            <w:r w:rsidRPr="00F2412D">
              <w:rPr>
                <w:rFonts w:ascii="Times New Roman" w:hAnsi="Times New Roman" w:cs="Times New Roman"/>
                <w:b/>
                <w:color w:val="000000"/>
              </w:rPr>
              <w:t>Eil.</w:t>
            </w:r>
          </w:p>
          <w:p w14:paraId="0BE78152" w14:textId="77777777" w:rsidR="007249E8" w:rsidRPr="00F2412D" w:rsidRDefault="007249E8" w:rsidP="00890D1D">
            <w:pPr>
              <w:tabs>
                <w:tab w:val="left" w:pos="567"/>
              </w:tabs>
              <w:jc w:val="center"/>
              <w:rPr>
                <w:rFonts w:ascii="Times New Roman" w:hAnsi="Times New Roman" w:cs="Times New Roman"/>
                <w:b/>
                <w:color w:val="000000"/>
              </w:rPr>
            </w:pPr>
            <w:r w:rsidRPr="00F2412D">
              <w:rPr>
                <w:rFonts w:ascii="Times New Roman" w:hAnsi="Times New Roman" w:cs="Times New Roman"/>
                <w:b/>
                <w:color w:val="000000"/>
              </w:rPr>
              <w:t>Nr.</w:t>
            </w:r>
          </w:p>
        </w:tc>
        <w:tc>
          <w:tcPr>
            <w:tcW w:w="1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1F288269" w:rsidR="007249E8" w:rsidRPr="00F2412D" w:rsidRDefault="007249E8" w:rsidP="00F558F0">
            <w:pPr>
              <w:jc w:val="center"/>
              <w:rPr>
                <w:rFonts w:ascii="Times New Roman" w:hAnsi="Times New Roman" w:cs="Times New Roman"/>
                <w:b/>
                <w:color w:val="000000"/>
              </w:rPr>
            </w:pPr>
            <w:r w:rsidRPr="00F2412D">
              <w:rPr>
                <w:rFonts w:ascii="Times New Roman" w:hAnsi="Times New Roman" w:cs="Times New Roman"/>
                <w:b/>
                <w:color w:val="000000"/>
              </w:rPr>
              <w:t>Parametras</w:t>
            </w:r>
          </w:p>
        </w:tc>
        <w:tc>
          <w:tcPr>
            <w:tcW w:w="1573"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16498549" w:rsidR="007249E8" w:rsidRPr="00F2412D" w:rsidRDefault="007249E8" w:rsidP="00F63246">
            <w:pPr>
              <w:spacing w:after="0" w:line="240" w:lineRule="auto"/>
              <w:jc w:val="center"/>
              <w:rPr>
                <w:rFonts w:ascii="Times New Roman" w:hAnsi="Times New Roman" w:cs="Times New Roman"/>
                <w:b/>
                <w:color w:val="000000"/>
              </w:rPr>
            </w:pPr>
            <w:r w:rsidRPr="00F2412D">
              <w:rPr>
                <w:rFonts w:ascii="Times New Roman" w:hAnsi="Times New Roman" w:cs="Times New Roman"/>
                <w:b/>
                <w:color w:val="000000"/>
              </w:rPr>
              <w:t>Reikalaujama reikšmė</w:t>
            </w:r>
            <w:r w:rsidRPr="004700DE">
              <w:rPr>
                <w:rFonts w:ascii="Times New Roman" w:hAnsi="Times New Roman" w:cs="Times New Roman"/>
                <w:bCs/>
                <w:i/>
                <w:iCs/>
                <w:color w:val="000000"/>
                <w:sz w:val="20"/>
                <w:szCs w:val="20"/>
              </w:rPr>
              <w:t xml:space="preserve"> </w:t>
            </w:r>
          </w:p>
        </w:tc>
        <w:tc>
          <w:tcPr>
            <w:tcW w:w="1574"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Default="007249E8" w:rsidP="00F63246">
            <w:pPr>
              <w:spacing w:after="0" w:line="240" w:lineRule="auto"/>
              <w:jc w:val="center"/>
              <w:rPr>
                <w:rFonts w:ascii="Times New Roman" w:hAnsi="Times New Roman" w:cs="Times New Roman"/>
                <w:b/>
                <w:color w:val="000000"/>
              </w:rPr>
            </w:pPr>
            <w:r w:rsidRPr="00F2412D">
              <w:rPr>
                <w:rFonts w:ascii="Times New Roman" w:hAnsi="Times New Roman" w:cs="Times New Roman"/>
                <w:b/>
                <w:color w:val="000000"/>
              </w:rPr>
              <w:t>Reikalaujamos reikšmės atitikimas</w:t>
            </w:r>
          </w:p>
          <w:p w14:paraId="532F3382" w14:textId="67F012D5" w:rsidR="007249E8" w:rsidRPr="00F2412D" w:rsidRDefault="007249E8" w:rsidP="00F63246">
            <w:pPr>
              <w:spacing w:after="0" w:line="240" w:lineRule="auto"/>
              <w:jc w:val="center"/>
              <w:rPr>
                <w:rFonts w:ascii="Times New Roman" w:hAnsi="Times New Roman" w:cs="Times New Roman"/>
                <w:bCs/>
                <w:i/>
                <w:iCs/>
                <w:color w:val="000000"/>
                <w:sz w:val="20"/>
                <w:szCs w:val="20"/>
              </w:rPr>
            </w:pPr>
            <w:r>
              <w:rPr>
                <w:rFonts w:ascii="Times New Roman" w:hAnsi="Times New Roman" w:cs="Times New Roman"/>
                <w:bCs/>
                <w:i/>
                <w:iCs/>
                <w:color w:val="000000"/>
                <w:sz w:val="20"/>
                <w:szCs w:val="20"/>
              </w:rPr>
              <w:t>(pildo tiekėjas)</w:t>
            </w:r>
          </w:p>
        </w:tc>
      </w:tr>
      <w:tr w:rsidR="007008CC" w:rsidRPr="007249E8" w14:paraId="2380005E" w14:textId="54D7D94B" w:rsidTr="00F23F4F">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7B7EEA1" w14:textId="7C5693B1" w:rsidR="007008CC" w:rsidRPr="00400260" w:rsidRDefault="00400260" w:rsidP="00F2412D">
            <w:pPr>
              <w:jc w:val="center"/>
              <w:rPr>
                <w:rFonts w:ascii="Times New Roman" w:hAnsi="Times New Roman" w:cs="Times New Roman"/>
                <w:lang w:eastAsia="lt-LT"/>
              </w:rPr>
            </w:pPr>
            <w:r w:rsidRPr="00400260">
              <w:rPr>
                <w:rFonts w:ascii="Times New Roman" w:hAnsi="Times New Roman" w:cs="Times New Roman"/>
                <w:b/>
                <w:bCs/>
              </w:rPr>
              <w:t>Optinės galios matuoklių kompiuterinė sąsaja</w:t>
            </w:r>
          </w:p>
        </w:tc>
      </w:tr>
      <w:tr w:rsidR="007249E8" w:rsidRPr="007249E8" w14:paraId="2D531950" w14:textId="664A9544" w:rsidTr="00F2412D">
        <w:tc>
          <w:tcPr>
            <w:tcW w:w="280" w:type="pct"/>
            <w:tcBorders>
              <w:top w:val="single" w:sz="4" w:space="0" w:color="auto"/>
              <w:left w:val="single" w:sz="4" w:space="0" w:color="auto"/>
              <w:bottom w:val="single" w:sz="4" w:space="0" w:color="auto"/>
              <w:right w:val="single" w:sz="4" w:space="0" w:color="auto"/>
            </w:tcBorders>
            <w:vAlign w:val="center"/>
          </w:tcPr>
          <w:p w14:paraId="009AE7F9" w14:textId="1A24826B" w:rsidR="007249E8" w:rsidRPr="00F2412D" w:rsidRDefault="00BA49F7" w:rsidP="00890D1D">
            <w:pPr>
              <w:jc w:val="center"/>
              <w:rPr>
                <w:rFonts w:ascii="Times New Roman" w:hAnsi="Times New Roman" w:cs="Times New Roman"/>
                <w:color w:val="000000"/>
              </w:rPr>
            </w:pPr>
            <w:r>
              <w:rPr>
                <w:rFonts w:ascii="Times New Roman" w:hAnsi="Times New Roman" w:cs="Times New Roman"/>
                <w:color w:val="000000"/>
              </w:rPr>
              <w:t>1</w:t>
            </w:r>
            <w:r w:rsidR="007249E8" w:rsidRPr="00F2412D">
              <w:rPr>
                <w:rFonts w:ascii="Times New Roman" w:hAnsi="Times New Roman" w:cs="Times New Roman"/>
                <w:color w:val="000000"/>
              </w:rPr>
              <w:t>.</w:t>
            </w:r>
          </w:p>
        </w:tc>
        <w:tc>
          <w:tcPr>
            <w:tcW w:w="1572" w:type="pct"/>
            <w:tcBorders>
              <w:top w:val="single" w:sz="4" w:space="0" w:color="auto"/>
              <w:left w:val="single" w:sz="4" w:space="0" w:color="auto"/>
              <w:bottom w:val="single" w:sz="4" w:space="0" w:color="auto"/>
              <w:right w:val="single" w:sz="4" w:space="0" w:color="auto"/>
            </w:tcBorders>
          </w:tcPr>
          <w:p w14:paraId="51C1FC6B" w14:textId="414B6D08" w:rsidR="007249E8" w:rsidRPr="00F2412D" w:rsidRDefault="0028500C" w:rsidP="00890D1D">
            <w:pPr>
              <w:rPr>
                <w:rFonts w:ascii="Times New Roman" w:hAnsi="Times New Roman" w:cs="Times New Roman"/>
                <w:i/>
                <w:iCs/>
                <w:color w:val="FF0000"/>
                <w:lang w:eastAsia="lt-LT"/>
              </w:rPr>
            </w:pPr>
            <w:proofErr w:type="spellStart"/>
            <w:r w:rsidRPr="0028500C">
              <w:rPr>
                <w:rFonts w:ascii="Times New Roman" w:hAnsi="Times New Roman" w:cs="Times New Roman"/>
                <w:lang w:eastAsia="lt-LT"/>
              </w:rPr>
              <w:t>Ophir</w:t>
            </w:r>
            <w:proofErr w:type="spellEnd"/>
            <w:r w:rsidRPr="0028500C">
              <w:rPr>
                <w:rFonts w:ascii="Times New Roman" w:hAnsi="Times New Roman" w:cs="Times New Roman"/>
                <w:lang w:eastAsia="lt-LT"/>
              </w:rPr>
              <w:t xml:space="preserve"> </w:t>
            </w:r>
            <w:proofErr w:type="spellStart"/>
            <w:r w:rsidRPr="0028500C">
              <w:rPr>
                <w:rFonts w:ascii="Times New Roman" w:hAnsi="Times New Roman" w:cs="Times New Roman"/>
                <w:lang w:eastAsia="lt-LT"/>
              </w:rPr>
              <w:t>Optronics</w:t>
            </w:r>
            <w:proofErr w:type="spellEnd"/>
            <w:r w:rsidRPr="0028500C">
              <w:rPr>
                <w:rFonts w:ascii="Times New Roman" w:hAnsi="Times New Roman" w:cs="Times New Roman"/>
                <w:lang w:eastAsia="lt-LT"/>
              </w:rPr>
              <w:t xml:space="preserve"> </w:t>
            </w:r>
            <w:proofErr w:type="spellStart"/>
            <w:r w:rsidRPr="0028500C">
              <w:rPr>
                <w:rFonts w:ascii="Times New Roman" w:hAnsi="Times New Roman" w:cs="Times New Roman"/>
                <w:lang w:eastAsia="lt-LT"/>
              </w:rPr>
              <w:t>Solutions</w:t>
            </w:r>
            <w:proofErr w:type="spellEnd"/>
            <w:r w:rsidRPr="0028500C">
              <w:rPr>
                <w:rFonts w:ascii="Times New Roman" w:hAnsi="Times New Roman" w:cs="Times New Roman"/>
                <w:lang w:eastAsia="lt-LT"/>
              </w:rPr>
              <w:t xml:space="preserve"> Ltd</w:t>
            </w:r>
            <w:r>
              <w:rPr>
                <w:rFonts w:ascii="Times New Roman" w:hAnsi="Times New Roman" w:cs="Times New Roman"/>
                <w:lang w:eastAsia="lt-LT"/>
              </w:rPr>
              <w:t xml:space="preserve">. optinės galios </w:t>
            </w:r>
            <w:proofErr w:type="spellStart"/>
            <w:r>
              <w:rPr>
                <w:rFonts w:ascii="Times New Roman" w:hAnsi="Times New Roman" w:cs="Times New Roman"/>
                <w:lang w:eastAsia="lt-LT"/>
              </w:rPr>
              <w:t>fotodiodinių</w:t>
            </w:r>
            <w:proofErr w:type="spellEnd"/>
            <w:r>
              <w:rPr>
                <w:rFonts w:ascii="Times New Roman" w:hAnsi="Times New Roman" w:cs="Times New Roman"/>
                <w:lang w:eastAsia="lt-LT"/>
              </w:rPr>
              <w:t xml:space="preserve">, </w:t>
            </w:r>
            <w:proofErr w:type="spellStart"/>
            <w:r>
              <w:rPr>
                <w:rFonts w:ascii="Times New Roman" w:hAnsi="Times New Roman" w:cs="Times New Roman"/>
                <w:lang w:eastAsia="lt-LT"/>
              </w:rPr>
              <w:t>piroelektrinių</w:t>
            </w:r>
            <w:proofErr w:type="spellEnd"/>
            <w:r>
              <w:rPr>
                <w:rFonts w:ascii="Times New Roman" w:hAnsi="Times New Roman" w:cs="Times New Roman"/>
                <w:lang w:eastAsia="lt-LT"/>
              </w:rPr>
              <w:t>, terminių matuoklių prijungimo palaikymas</w:t>
            </w:r>
          </w:p>
        </w:tc>
        <w:tc>
          <w:tcPr>
            <w:tcW w:w="1573" w:type="pct"/>
            <w:tcBorders>
              <w:top w:val="single" w:sz="4" w:space="0" w:color="auto"/>
              <w:left w:val="single" w:sz="4" w:space="0" w:color="auto"/>
              <w:bottom w:val="single" w:sz="4" w:space="0" w:color="auto"/>
              <w:right w:val="single" w:sz="4" w:space="0" w:color="auto"/>
            </w:tcBorders>
          </w:tcPr>
          <w:p w14:paraId="19FD8139" w14:textId="406E1FAF" w:rsidR="007249E8" w:rsidRPr="0028500C" w:rsidRDefault="00BA49F7" w:rsidP="00890D1D">
            <w:pPr>
              <w:rPr>
                <w:rFonts w:ascii="Times New Roman" w:hAnsi="Times New Roman" w:cs="Times New Roman"/>
                <w:color w:val="FF0000"/>
                <w:lang w:eastAsia="lt-LT"/>
              </w:rPr>
            </w:pPr>
            <w:r w:rsidRPr="0028500C">
              <w:rPr>
                <w:rFonts w:ascii="Times New Roman" w:hAnsi="Times New Roman" w:cs="Times New Roman"/>
                <w:lang w:eastAsia="lt-LT"/>
              </w:rPr>
              <w:t>Būtina</w:t>
            </w:r>
            <w:r w:rsidR="0028500C" w:rsidRPr="0028500C">
              <w:rPr>
                <w:rFonts w:ascii="Times New Roman" w:hAnsi="Times New Roman" w:cs="Times New Roman"/>
                <w:lang w:eastAsia="lt-LT"/>
              </w:rPr>
              <w:t>s</w:t>
            </w:r>
          </w:p>
        </w:tc>
        <w:tc>
          <w:tcPr>
            <w:tcW w:w="1574" w:type="pct"/>
            <w:tcBorders>
              <w:top w:val="single" w:sz="4" w:space="0" w:color="auto"/>
              <w:left w:val="single" w:sz="4" w:space="0" w:color="auto"/>
              <w:bottom w:val="single" w:sz="4" w:space="0" w:color="auto"/>
              <w:right w:val="single" w:sz="4" w:space="0" w:color="auto"/>
            </w:tcBorders>
          </w:tcPr>
          <w:p w14:paraId="564D386E" w14:textId="77777777" w:rsidR="007249E8" w:rsidRPr="00F2412D" w:rsidRDefault="007249E8" w:rsidP="00890D1D">
            <w:pPr>
              <w:rPr>
                <w:rFonts w:ascii="Times New Roman" w:hAnsi="Times New Roman" w:cs="Times New Roman"/>
                <w:color w:val="000000"/>
                <w:lang w:eastAsia="lt-LT"/>
              </w:rPr>
            </w:pPr>
          </w:p>
        </w:tc>
      </w:tr>
      <w:tr w:rsidR="0028500C" w:rsidRPr="007249E8" w14:paraId="3998CB86" w14:textId="77777777" w:rsidTr="00F2412D">
        <w:tc>
          <w:tcPr>
            <w:tcW w:w="280" w:type="pct"/>
            <w:tcBorders>
              <w:top w:val="single" w:sz="4" w:space="0" w:color="auto"/>
              <w:left w:val="single" w:sz="4" w:space="0" w:color="auto"/>
              <w:bottom w:val="single" w:sz="4" w:space="0" w:color="auto"/>
              <w:right w:val="single" w:sz="4" w:space="0" w:color="auto"/>
            </w:tcBorders>
            <w:vAlign w:val="center"/>
          </w:tcPr>
          <w:p w14:paraId="7A67802A" w14:textId="56444D59" w:rsidR="0028500C" w:rsidRDefault="0028500C" w:rsidP="00890D1D">
            <w:pPr>
              <w:jc w:val="center"/>
              <w:rPr>
                <w:rFonts w:ascii="Times New Roman" w:hAnsi="Times New Roman" w:cs="Times New Roman"/>
                <w:color w:val="000000"/>
              </w:rPr>
            </w:pPr>
            <w:r>
              <w:rPr>
                <w:rFonts w:ascii="Times New Roman" w:hAnsi="Times New Roman" w:cs="Times New Roman"/>
                <w:color w:val="000000"/>
              </w:rPr>
              <w:t>2.</w:t>
            </w:r>
          </w:p>
        </w:tc>
        <w:tc>
          <w:tcPr>
            <w:tcW w:w="1572" w:type="pct"/>
            <w:tcBorders>
              <w:top w:val="single" w:sz="4" w:space="0" w:color="auto"/>
              <w:left w:val="single" w:sz="4" w:space="0" w:color="auto"/>
              <w:bottom w:val="single" w:sz="4" w:space="0" w:color="auto"/>
              <w:right w:val="single" w:sz="4" w:space="0" w:color="auto"/>
            </w:tcBorders>
          </w:tcPr>
          <w:p w14:paraId="6FACB4E7" w14:textId="3C2C3140" w:rsidR="0028500C" w:rsidRPr="0028500C" w:rsidRDefault="0028500C" w:rsidP="00890D1D">
            <w:pPr>
              <w:rPr>
                <w:rFonts w:ascii="Times New Roman" w:hAnsi="Times New Roman" w:cs="Times New Roman"/>
                <w:lang w:eastAsia="lt-LT"/>
              </w:rPr>
            </w:pPr>
            <w:r>
              <w:rPr>
                <w:rFonts w:ascii="Times New Roman" w:hAnsi="Times New Roman" w:cs="Times New Roman"/>
                <w:lang w:eastAsia="lt-LT"/>
              </w:rPr>
              <w:t>Prijungiamų optinės galios matuoklių skaičius</w:t>
            </w:r>
          </w:p>
        </w:tc>
        <w:tc>
          <w:tcPr>
            <w:tcW w:w="1573" w:type="pct"/>
            <w:tcBorders>
              <w:top w:val="single" w:sz="4" w:space="0" w:color="auto"/>
              <w:left w:val="single" w:sz="4" w:space="0" w:color="auto"/>
              <w:bottom w:val="single" w:sz="4" w:space="0" w:color="auto"/>
              <w:right w:val="single" w:sz="4" w:space="0" w:color="auto"/>
            </w:tcBorders>
          </w:tcPr>
          <w:p w14:paraId="4FA5069E" w14:textId="78B31128" w:rsidR="0028500C" w:rsidRPr="0028500C" w:rsidRDefault="0028500C" w:rsidP="00890D1D">
            <w:pPr>
              <w:rPr>
                <w:rFonts w:ascii="Times New Roman" w:hAnsi="Times New Roman" w:cs="Times New Roman"/>
                <w:lang w:eastAsia="lt-LT"/>
              </w:rPr>
            </w:pPr>
            <w:r>
              <w:rPr>
                <w:rFonts w:ascii="Times New Roman" w:hAnsi="Times New Roman" w:cs="Times New Roman"/>
                <w:lang w:eastAsia="lt-LT"/>
              </w:rPr>
              <w:t>1 vnt.</w:t>
            </w:r>
          </w:p>
        </w:tc>
        <w:tc>
          <w:tcPr>
            <w:tcW w:w="1574" w:type="pct"/>
            <w:tcBorders>
              <w:top w:val="single" w:sz="4" w:space="0" w:color="auto"/>
              <w:left w:val="single" w:sz="4" w:space="0" w:color="auto"/>
              <w:bottom w:val="single" w:sz="4" w:space="0" w:color="auto"/>
              <w:right w:val="single" w:sz="4" w:space="0" w:color="auto"/>
            </w:tcBorders>
          </w:tcPr>
          <w:p w14:paraId="08FBA941" w14:textId="77777777" w:rsidR="0028500C" w:rsidRPr="00F2412D" w:rsidRDefault="0028500C" w:rsidP="00890D1D">
            <w:pPr>
              <w:rPr>
                <w:rFonts w:ascii="Times New Roman" w:hAnsi="Times New Roman" w:cs="Times New Roman"/>
                <w:color w:val="000000"/>
                <w:lang w:eastAsia="lt-LT"/>
              </w:rPr>
            </w:pPr>
          </w:p>
        </w:tc>
      </w:tr>
      <w:tr w:rsidR="007249E8" w:rsidRPr="007249E8" w14:paraId="50C860D8" w14:textId="6B7AAEEC" w:rsidTr="00F2412D">
        <w:tc>
          <w:tcPr>
            <w:tcW w:w="280" w:type="pct"/>
            <w:tcBorders>
              <w:top w:val="single" w:sz="4" w:space="0" w:color="auto"/>
              <w:left w:val="single" w:sz="4" w:space="0" w:color="auto"/>
              <w:bottom w:val="single" w:sz="4" w:space="0" w:color="auto"/>
              <w:right w:val="single" w:sz="4" w:space="0" w:color="auto"/>
            </w:tcBorders>
            <w:vAlign w:val="center"/>
          </w:tcPr>
          <w:p w14:paraId="67FECEFA" w14:textId="05AC05A3" w:rsidR="007249E8" w:rsidRPr="00F2412D" w:rsidRDefault="00BA49F7" w:rsidP="00890D1D">
            <w:pPr>
              <w:jc w:val="center"/>
              <w:rPr>
                <w:rFonts w:ascii="Times New Roman" w:hAnsi="Times New Roman" w:cs="Times New Roman"/>
                <w:color w:val="000000"/>
              </w:rPr>
            </w:pPr>
            <w:r>
              <w:rPr>
                <w:rFonts w:ascii="Times New Roman" w:hAnsi="Times New Roman" w:cs="Times New Roman"/>
                <w:color w:val="000000"/>
              </w:rPr>
              <w:t>2</w:t>
            </w:r>
            <w:r w:rsidR="007249E8" w:rsidRPr="00F2412D">
              <w:rPr>
                <w:rFonts w:ascii="Times New Roman" w:hAnsi="Times New Roman" w:cs="Times New Roman"/>
                <w:color w:val="000000"/>
              </w:rPr>
              <w:t>.</w:t>
            </w:r>
          </w:p>
        </w:tc>
        <w:tc>
          <w:tcPr>
            <w:tcW w:w="1572" w:type="pct"/>
            <w:tcBorders>
              <w:top w:val="single" w:sz="4" w:space="0" w:color="auto"/>
              <w:left w:val="single" w:sz="4" w:space="0" w:color="auto"/>
              <w:bottom w:val="single" w:sz="4" w:space="0" w:color="auto"/>
              <w:right w:val="single" w:sz="4" w:space="0" w:color="auto"/>
            </w:tcBorders>
          </w:tcPr>
          <w:p w14:paraId="35574083" w14:textId="3452672E" w:rsidR="007249E8" w:rsidRPr="0028500C" w:rsidRDefault="0028500C" w:rsidP="00890D1D">
            <w:pPr>
              <w:rPr>
                <w:rFonts w:ascii="Times New Roman" w:hAnsi="Times New Roman" w:cs="Times New Roman"/>
                <w:color w:val="FF0000"/>
              </w:rPr>
            </w:pPr>
            <w:r>
              <w:rPr>
                <w:rFonts w:ascii="Times New Roman" w:hAnsi="Times New Roman" w:cs="Times New Roman"/>
              </w:rPr>
              <w:t>Matuoklių d</w:t>
            </w:r>
            <w:r w:rsidRPr="0028500C">
              <w:rPr>
                <w:rFonts w:ascii="Times New Roman" w:hAnsi="Times New Roman" w:cs="Times New Roman"/>
              </w:rPr>
              <w:t>uomenų nuskaitymo maksimalus dažnis</w:t>
            </w:r>
          </w:p>
        </w:tc>
        <w:tc>
          <w:tcPr>
            <w:tcW w:w="1573" w:type="pct"/>
            <w:tcBorders>
              <w:top w:val="single" w:sz="4" w:space="0" w:color="auto"/>
              <w:left w:val="single" w:sz="4" w:space="0" w:color="auto"/>
              <w:bottom w:val="single" w:sz="4" w:space="0" w:color="auto"/>
              <w:right w:val="single" w:sz="4" w:space="0" w:color="auto"/>
            </w:tcBorders>
          </w:tcPr>
          <w:p w14:paraId="6F52A672" w14:textId="341FA179" w:rsidR="007249E8" w:rsidRPr="0028500C" w:rsidRDefault="0028500C" w:rsidP="00890D1D">
            <w:pPr>
              <w:rPr>
                <w:rFonts w:ascii="Times New Roman" w:hAnsi="Times New Roman" w:cs="Times New Roman"/>
                <w:color w:val="FF0000"/>
              </w:rPr>
            </w:pPr>
            <w:r>
              <w:rPr>
                <w:rFonts w:ascii="Times New Roman" w:hAnsi="Times New Roman" w:cs="Times New Roman"/>
              </w:rPr>
              <w:t>ne mažiau kaip 5000 Hz</w:t>
            </w:r>
          </w:p>
        </w:tc>
        <w:tc>
          <w:tcPr>
            <w:tcW w:w="1574" w:type="pct"/>
            <w:tcBorders>
              <w:top w:val="single" w:sz="4" w:space="0" w:color="auto"/>
              <w:left w:val="single" w:sz="4" w:space="0" w:color="auto"/>
              <w:bottom w:val="single" w:sz="4" w:space="0" w:color="auto"/>
              <w:right w:val="single" w:sz="4" w:space="0" w:color="auto"/>
            </w:tcBorders>
          </w:tcPr>
          <w:p w14:paraId="5C958134" w14:textId="77777777" w:rsidR="007249E8" w:rsidRPr="00F2412D" w:rsidRDefault="007249E8" w:rsidP="00890D1D">
            <w:pPr>
              <w:rPr>
                <w:rFonts w:ascii="Times New Roman" w:hAnsi="Times New Roman" w:cs="Times New Roman"/>
                <w:color w:val="000000"/>
              </w:rPr>
            </w:pPr>
          </w:p>
        </w:tc>
      </w:tr>
      <w:tr w:rsidR="007249E8" w:rsidRPr="007249E8" w14:paraId="581BB471" w14:textId="6E8A9043" w:rsidTr="00F2412D">
        <w:tc>
          <w:tcPr>
            <w:tcW w:w="280" w:type="pct"/>
            <w:tcBorders>
              <w:top w:val="single" w:sz="4" w:space="0" w:color="auto"/>
              <w:left w:val="single" w:sz="4" w:space="0" w:color="auto"/>
              <w:bottom w:val="single" w:sz="4" w:space="0" w:color="auto"/>
              <w:right w:val="single" w:sz="4" w:space="0" w:color="auto"/>
            </w:tcBorders>
            <w:vAlign w:val="center"/>
          </w:tcPr>
          <w:p w14:paraId="32381B02" w14:textId="3360EB9F" w:rsidR="007249E8" w:rsidRPr="00F2412D" w:rsidRDefault="00BA49F7" w:rsidP="00890D1D">
            <w:pPr>
              <w:jc w:val="center"/>
              <w:rPr>
                <w:rFonts w:ascii="Times New Roman" w:hAnsi="Times New Roman" w:cs="Times New Roman"/>
                <w:color w:val="000000"/>
              </w:rPr>
            </w:pPr>
            <w:r>
              <w:rPr>
                <w:rFonts w:ascii="Times New Roman" w:hAnsi="Times New Roman" w:cs="Times New Roman"/>
                <w:color w:val="000000"/>
              </w:rPr>
              <w:t>3</w:t>
            </w:r>
            <w:r w:rsidR="007249E8" w:rsidRPr="00F2412D">
              <w:rPr>
                <w:rFonts w:ascii="Times New Roman" w:hAnsi="Times New Roman" w:cs="Times New Roman"/>
                <w:color w:val="000000"/>
              </w:rPr>
              <w:t>.</w:t>
            </w:r>
          </w:p>
        </w:tc>
        <w:tc>
          <w:tcPr>
            <w:tcW w:w="1572" w:type="pct"/>
            <w:tcBorders>
              <w:top w:val="single" w:sz="4" w:space="0" w:color="auto"/>
              <w:left w:val="single" w:sz="4" w:space="0" w:color="auto"/>
              <w:bottom w:val="single" w:sz="4" w:space="0" w:color="auto"/>
              <w:right w:val="single" w:sz="4" w:space="0" w:color="auto"/>
            </w:tcBorders>
          </w:tcPr>
          <w:p w14:paraId="2D70DBB7" w14:textId="460A084C" w:rsidR="007249E8" w:rsidRPr="0028500C" w:rsidRDefault="0028500C" w:rsidP="00890D1D">
            <w:pPr>
              <w:rPr>
                <w:rFonts w:ascii="Times New Roman" w:hAnsi="Times New Roman" w:cs="Times New Roman"/>
              </w:rPr>
            </w:pPr>
            <w:r w:rsidRPr="0028500C">
              <w:rPr>
                <w:rFonts w:ascii="Times New Roman" w:hAnsi="Times New Roman" w:cs="Times New Roman"/>
              </w:rPr>
              <w:t>Kompiuterinė jungtis</w:t>
            </w:r>
          </w:p>
        </w:tc>
        <w:tc>
          <w:tcPr>
            <w:tcW w:w="1573" w:type="pct"/>
            <w:tcBorders>
              <w:top w:val="single" w:sz="4" w:space="0" w:color="auto"/>
              <w:left w:val="single" w:sz="4" w:space="0" w:color="auto"/>
              <w:bottom w:val="single" w:sz="4" w:space="0" w:color="auto"/>
              <w:right w:val="single" w:sz="4" w:space="0" w:color="auto"/>
            </w:tcBorders>
          </w:tcPr>
          <w:p w14:paraId="5DA9D9F7" w14:textId="505B13A8" w:rsidR="007249E8" w:rsidRPr="0028500C" w:rsidRDefault="0028500C" w:rsidP="00890D1D">
            <w:pPr>
              <w:rPr>
                <w:rFonts w:ascii="Times New Roman" w:hAnsi="Times New Roman" w:cs="Times New Roman"/>
              </w:rPr>
            </w:pPr>
            <w:r w:rsidRPr="0028500C">
              <w:rPr>
                <w:rFonts w:ascii="Times New Roman" w:hAnsi="Times New Roman" w:cs="Times New Roman"/>
              </w:rPr>
              <w:t>USB</w:t>
            </w:r>
          </w:p>
        </w:tc>
        <w:tc>
          <w:tcPr>
            <w:tcW w:w="1574" w:type="pct"/>
            <w:tcBorders>
              <w:top w:val="single" w:sz="4" w:space="0" w:color="auto"/>
              <w:left w:val="single" w:sz="4" w:space="0" w:color="auto"/>
              <w:bottom w:val="single" w:sz="4" w:space="0" w:color="auto"/>
              <w:right w:val="single" w:sz="4" w:space="0" w:color="auto"/>
            </w:tcBorders>
          </w:tcPr>
          <w:p w14:paraId="54CD5B84" w14:textId="77777777" w:rsidR="007249E8" w:rsidRPr="00F2412D" w:rsidRDefault="007249E8" w:rsidP="00890D1D">
            <w:pPr>
              <w:rPr>
                <w:rFonts w:ascii="Times New Roman" w:hAnsi="Times New Roman" w:cs="Times New Roman"/>
                <w:color w:val="000000"/>
              </w:rPr>
            </w:pPr>
          </w:p>
        </w:tc>
      </w:tr>
      <w:tr w:rsidR="00BA49F7" w:rsidRPr="007249E8" w14:paraId="1CB54861" w14:textId="77777777" w:rsidTr="007008CC">
        <w:tc>
          <w:tcPr>
            <w:tcW w:w="280" w:type="pct"/>
            <w:tcBorders>
              <w:top w:val="single" w:sz="4" w:space="0" w:color="auto"/>
              <w:left w:val="single" w:sz="4" w:space="0" w:color="auto"/>
              <w:bottom w:val="single" w:sz="4" w:space="0" w:color="auto"/>
              <w:right w:val="single" w:sz="4" w:space="0" w:color="auto"/>
            </w:tcBorders>
            <w:vAlign w:val="center"/>
          </w:tcPr>
          <w:p w14:paraId="277336A2" w14:textId="176CD26A" w:rsidR="00BA49F7" w:rsidRDefault="00BA49F7" w:rsidP="00890D1D">
            <w:pPr>
              <w:jc w:val="center"/>
              <w:rPr>
                <w:rFonts w:ascii="Times New Roman" w:hAnsi="Times New Roman" w:cs="Times New Roman"/>
                <w:color w:val="000000"/>
              </w:rPr>
            </w:pPr>
            <w:r>
              <w:rPr>
                <w:rFonts w:ascii="Times New Roman" w:hAnsi="Times New Roman" w:cs="Times New Roman"/>
                <w:color w:val="000000"/>
              </w:rPr>
              <w:t>4.</w:t>
            </w:r>
          </w:p>
        </w:tc>
        <w:tc>
          <w:tcPr>
            <w:tcW w:w="1572" w:type="pct"/>
            <w:tcBorders>
              <w:top w:val="single" w:sz="4" w:space="0" w:color="auto"/>
              <w:left w:val="single" w:sz="4" w:space="0" w:color="auto"/>
              <w:bottom w:val="single" w:sz="4" w:space="0" w:color="auto"/>
              <w:right w:val="single" w:sz="4" w:space="0" w:color="auto"/>
            </w:tcBorders>
          </w:tcPr>
          <w:p w14:paraId="0A03B70D" w14:textId="19F841A6" w:rsidR="00BA49F7" w:rsidRPr="0028500C" w:rsidRDefault="0028500C" w:rsidP="00890D1D">
            <w:pPr>
              <w:rPr>
                <w:rFonts w:ascii="Times New Roman" w:hAnsi="Times New Roman" w:cs="Times New Roman"/>
              </w:rPr>
            </w:pPr>
            <w:r w:rsidRPr="0028500C">
              <w:rPr>
                <w:rFonts w:ascii="Times New Roman" w:hAnsi="Times New Roman" w:cs="Times New Roman"/>
              </w:rPr>
              <w:t>Maitinimas</w:t>
            </w:r>
          </w:p>
        </w:tc>
        <w:tc>
          <w:tcPr>
            <w:tcW w:w="1573" w:type="pct"/>
            <w:tcBorders>
              <w:top w:val="single" w:sz="4" w:space="0" w:color="auto"/>
              <w:left w:val="single" w:sz="4" w:space="0" w:color="auto"/>
              <w:bottom w:val="single" w:sz="4" w:space="0" w:color="auto"/>
              <w:right w:val="single" w:sz="4" w:space="0" w:color="auto"/>
            </w:tcBorders>
          </w:tcPr>
          <w:p w14:paraId="4B922B2A" w14:textId="6AF0848E" w:rsidR="00BA49F7" w:rsidRPr="0028500C" w:rsidRDefault="0028500C" w:rsidP="00890D1D">
            <w:pPr>
              <w:rPr>
                <w:rFonts w:ascii="Times New Roman" w:hAnsi="Times New Roman" w:cs="Times New Roman"/>
              </w:rPr>
            </w:pPr>
            <w:r w:rsidRPr="0028500C">
              <w:rPr>
                <w:rFonts w:ascii="Times New Roman" w:hAnsi="Times New Roman" w:cs="Times New Roman"/>
              </w:rPr>
              <w:t>USB</w:t>
            </w:r>
          </w:p>
        </w:tc>
        <w:tc>
          <w:tcPr>
            <w:tcW w:w="1574" w:type="pct"/>
            <w:tcBorders>
              <w:top w:val="single" w:sz="4" w:space="0" w:color="auto"/>
              <w:left w:val="single" w:sz="4" w:space="0" w:color="auto"/>
              <w:bottom w:val="single" w:sz="4" w:space="0" w:color="auto"/>
              <w:right w:val="single" w:sz="4" w:space="0" w:color="auto"/>
            </w:tcBorders>
          </w:tcPr>
          <w:p w14:paraId="418EC200" w14:textId="77777777" w:rsidR="00BA49F7" w:rsidRPr="007249E8" w:rsidRDefault="00BA49F7" w:rsidP="00890D1D">
            <w:pPr>
              <w:rPr>
                <w:rFonts w:ascii="Times New Roman" w:hAnsi="Times New Roman" w:cs="Times New Roman"/>
                <w:color w:val="000000"/>
              </w:rPr>
            </w:pPr>
          </w:p>
        </w:tc>
      </w:tr>
      <w:tr w:rsidR="0028500C" w:rsidRPr="007249E8" w14:paraId="67AAA045" w14:textId="77777777" w:rsidTr="007008CC">
        <w:tc>
          <w:tcPr>
            <w:tcW w:w="280" w:type="pct"/>
            <w:tcBorders>
              <w:top w:val="single" w:sz="4" w:space="0" w:color="auto"/>
              <w:left w:val="single" w:sz="4" w:space="0" w:color="auto"/>
              <w:bottom w:val="single" w:sz="4" w:space="0" w:color="auto"/>
              <w:right w:val="single" w:sz="4" w:space="0" w:color="auto"/>
            </w:tcBorders>
            <w:vAlign w:val="center"/>
          </w:tcPr>
          <w:p w14:paraId="51979C07" w14:textId="0226D2DE" w:rsidR="0028500C" w:rsidRDefault="0028500C" w:rsidP="00890D1D">
            <w:pPr>
              <w:jc w:val="center"/>
              <w:rPr>
                <w:rFonts w:ascii="Times New Roman" w:hAnsi="Times New Roman" w:cs="Times New Roman"/>
                <w:color w:val="000000"/>
              </w:rPr>
            </w:pPr>
            <w:r>
              <w:rPr>
                <w:rFonts w:ascii="Times New Roman" w:hAnsi="Times New Roman" w:cs="Times New Roman"/>
                <w:color w:val="000000"/>
              </w:rPr>
              <w:t xml:space="preserve">5. </w:t>
            </w:r>
          </w:p>
        </w:tc>
        <w:tc>
          <w:tcPr>
            <w:tcW w:w="1572" w:type="pct"/>
            <w:tcBorders>
              <w:top w:val="single" w:sz="4" w:space="0" w:color="auto"/>
              <w:left w:val="single" w:sz="4" w:space="0" w:color="auto"/>
              <w:bottom w:val="single" w:sz="4" w:space="0" w:color="auto"/>
              <w:right w:val="single" w:sz="4" w:space="0" w:color="auto"/>
            </w:tcBorders>
          </w:tcPr>
          <w:p w14:paraId="4049A171" w14:textId="0F9E3FBB" w:rsidR="0028500C" w:rsidRPr="0028500C" w:rsidRDefault="0028500C" w:rsidP="00890D1D">
            <w:pPr>
              <w:rPr>
                <w:rFonts w:ascii="Times New Roman" w:hAnsi="Times New Roman" w:cs="Times New Roman"/>
              </w:rPr>
            </w:pPr>
            <w:r>
              <w:rPr>
                <w:rFonts w:ascii="Times New Roman" w:hAnsi="Times New Roman" w:cs="Times New Roman"/>
              </w:rPr>
              <w:t xml:space="preserve">Nuskaitomų matuoklių duomenų atvaizdavimo ir įrašymo programinės įrangos suderinamumas su operacinės sistemos Windows 11 aplinka </w:t>
            </w:r>
          </w:p>
        </w:tc>
        <w:tc>
          <w:tcPr>
            <w:tcW w:w="1573" w:type="pct"/>
            <w:tcBorders>
              <w:top w:val="single" w:sz="4" w:space="0" w:color="auto"/>
              <w:left w:val="single" w:sz="4" w:space="0" w:color="auto"/>
              <w:bottom w:val="single" w:sz="4" w:space="0" w:color="auto"/>
              <w:right w:val="single" w:sz="4" w:space="0" w:color="auto"/>
            </w:tcBorders>
          </w:tcPr>
          <w:p w14:paraId="63C35147" w14:textId="269B4FFF" w:rsidR="0028500C" w:rsidRPr="0028500C" w:rsidRDefault="0028500C" w:rsidP="00890D1D">
            <w:pPr>
              <w:rPr>
                <w:rFonts w:ascii="Times New Roman" w:hAnsi="Times New Roman" w:cs="Times New Roman"/>
              </w:rPr>
            </w:pPr>
            <w:r>
              <w:rPr>
                <w:rFonts w:ascii="Times New Roman" w:hAnsi="Times New Roman" w:cs="Times New Roman"/>
              </w:rPr>
              <w:t>Būtinas</w:t>
            </w:r>
          </w:p>
        </w:tc>
        <w:tc>
          <w:tcPr>
            <w:tcW w:w="1574" w:type="pct"/>
            <w:tcBorders>
              <w:top w:val="single" w:sz="4" w:space="0" w:color="auto"/>
              <w:left w:val="single" w:sz="4" w:space="0" w:color="auto"/>
              <w:bottom w:val="single" w:sz="4" w:space="0" w:color="auto"/>
              <w:right w:val="single" w:sz="4" w:space="0" w:color="auto"/>
            </w:tcBorders>
          </w:tcPr>
          <w:p w14:paraId="5711F9D7" w14:textId="77777777" w:rsidR="0028500C" w:rsidRPr="007249E8" w:rsidRDefault="0028500C" w:rsidP="00890D1D">
            <w:pPr>
              <w:rPr>
                <w:rFonts w:ascii="Times New Roman" w:hAnsi="Times New Roman" w:cs="Times New Roman"/>
                <w:color w:val="000000"/>
              </w:rPr>
            </w:pPr>
          </w:p>
        </w:tc>
      </w:tr>
      <w:tr w:rsidR="0028500C" w:rsidRPr="007249E8" w14:paraId="09F4FA47" w14:textId="77777777" w:rsidTr="007008CC">
        <w:tc>
          <w:tcPr>
            <w:tcW w:w="280" w:type="pct"/>
            <w:tcBorders>
              <w:top w:val="single" w:sz="4" w:space="0" w:color="auto"/>
              <w:left w:val="single" w:sz="4" w:space="0" w:color="auto"/>
              <w:bottom w:val="single" w:sz="4" w:space="0" w:color="auto"/>
              <w:right w:val="single" w:sz="4" w:space="0" w:color="auto"/>
            </w:tcBorders>
            <w:vAlign w:val="center"/>
          </w:tcPr>
          <w:p w14:paraId="2CFCE926" w14:textId="1B15E862" w:rsidR="0028500C" w:rsidRDefault="0028500C" w:rsidP="00890D1D">
            <w:pPr>
              <w:jc w:val="center"/>
              <w:rPr>
                <w:rFonts w:ascii="Times New Roman" w:hAnsi="Times New Roman" w:cs="Times New Roman"/>
                <w:color w:val="000000"/>
              </w:rPr>
            </w:pPr>
            <w:r>
              <w:rPr>
                <w:rFonts w:ascii="Times New Roman" w:hAnsi="Times New Roman" w:cs="Times New Roman"/>
                <w:color w:val="000000"/>
              </w:rPr>
              <w:t>6.</w:t>
            </w:r>
          </w:p>
        </w:tc>
        <w:tc>
          <w:tcPr>
            <w:tcW w:w="1572" w:type="pct"/>
            <w:tcBorders>
              <w:top w:val="single" w:sz="4" w:space="0" w:color="auto"/>
              <w:left w:val="single" w:sz="4" w:space="0" w:color="auto"/>
              <w:bottom w:val="single" w:sz="4" w:space="0" w:color="auto"/>
              <w:right w:val="single" w:sz="4" w:space="0" w:color="auto"/>
            </w:tcBorders>
          </w:tcPr>
          <w:p w14:paraId="7D892DF2" w14:textId="13000289" w:rsidR="0028500C" w:rsidRDefault="0028500C" w:rsidP="00890D1D">
            <w:pPr>
              <w:rPr>
                <w:rFonts w:ascii="Times New Roman" w:hAnsi="Times New Roman" w:cs="Times New Roman"/>
              </w:rPr>
            </w:pPr>
            <w:proofErr w:type="spellStart"/>
            <w:r w:rsidRPr="0028500C">
              <w:rPr>
                <w:rFonts w:ascii="Times New Roman" w:hAnsi="Times New Roman" w:cs="Times New Roman"/>
              </w:rPr>
              <w:t>LabVIEW</w:t>
            </w:r>
            <w:proofErr w:type="spellEnd"/>
            <w:r w:rsidRPr="0028500C">
              <w:rPr>
                <w:rFonts w:ascii="Times New Roman" w:hAnsi="Times New Roman" w:cs="Times New Roman"/>
              </w:rPr>
              <w:t xml:space="preserve"> </w:t>
            </w:r>
            <w:r>
              <w:rPr>
                <w:rFonts w:ascii="Times New Roman" w:hAnsi="Times New Roman" w:cs="Times New Roman"/>
              </w:rPr>
              <w:t>VI palaikymas</w:t>
            </w:r>
          </w:p>
        </w:tc>
        <w:tc>
          <w:tcPr>
            <w:tcW w:w="1573" w:type="pct"/>
            <w:tcBorders>
              <w:top w:val="single" w:sz="4" w:space="0" w:color="auto"/>
              <w:left w:val="single" w:sz="4" w:space="0" w:color="auto"/>
              <w:bottom w:val="single" w:sz="4" w:space="0" w:color="auto"/>
              <w:right w:val="single" w:sz="4" w:space="0" w:color="auto"/>
            </w:tcBorders>
          </w:tcPr>
          <w:p w14:paraId="12B48EA9" w14:textId="5674056A" w:rsidR="0028500C" w:rsidRDefault="0028500C" w:rsidP="00890D1D">
            <w:pPr>
              <w:rPr>
                <w:rFonts w:ascii="Times New Roman" w:hAnsi="Times New Roman" w:cs="Times New Roman"/>
              </w:rPr>
            </w:pPr>
            <w:r>
              <w:rPr>
                <w:rFonts w:ascii="Times New Roman" w:hAnsi="Times New Roman" w:cs="Times New Roman"/>
              </w:rPr>
              <w:t>Būtinas</w:t>
            </w:r>
          </w:p>
        </w:tc>
        <w:tc>
          <w:tcPr>
            <w:tcW w:w="1574" w:type="pct"/>
            <w:tcBorders>
              <w:top w:val="single" w:sz="4" w:space="0" w:color="auto"/>
              <w:left w:val="single" w:sz="4" w:space="0" w:color="auto"/>
              <w:bottom w:val="single" w:sz="4" w:space="0" w:color="auto"/>
              <w:right w:val="single" w:sz="4" w:space="0" w:color="auto"/>
            </w:tcBorders>
          </w:tcPr>
          <w:p w14:paraId="33D192AE" w14:textId="77777777" w:rsidR="0028500C" w:rsidRPr="007249E8" w:rsidRDefault="0028500C" w:rsidP="00890D1D">
            <w:pPr>
              <w:rPr>
                <w:rFonts w:ascii="Times New Roman" w:hAnsi="Times New Roman" w:cs="Times New Roman"/>
                <w:color w:val="000000"/>
              </w:rPr>
            </w:pPr>
          </w:p>
        </w:tc>
      </w:tr>
      <w:tr w:rsidR="00B50AE0" w:rsidRPr="007249E8" w14:paraId="40FB9405" w14:textId="77777777" w:rsidTr="0028500C">
        <w:trPr>
          <w:trHeight w:val="543"/>
        </w:trPr>
        <w:tc>
          <w:tcPr>
            <w:tcW w:w="280" w:type="pct"/>
            <w:tcBorders>
              <w:top w:val="single" w:sz="4" w:space="0" w:color="auto"/>
              <w:left w:val="single" w:sz="4" w:space="0" w:color="auto"/>
              <w:bottom w:val="single" w:sz="4" w:space="0" w:color="auto"/>
              <w:right w:val="single" w:sz="4" w:space="0" w:color="auto"/>
            </w:tcBorders>
            <w:vAlign w:val="center"/>
          </w:tcPr>
          <w:p w14:paraId="286BE29C" w14:textId="431E02C9" w:rsidR="00B50AE0" w:rsidRDefault="0028500C" w:rsidP="0028500C">
            <w:pPr>
              <w:jc w:val="center"/>
              <w:rPr>
                <w:rFonts w:ascii="Times New Roman" w:hAnsi="Times New Roman" w:cs="Times New Roman"/>
                <w:color w:val="000000"/>
              </w:rPr>
            </w:pPr>
            <w:r>
              <w:rPr>
                <w:rFonts w:ascii="Times New Roman" w:hAnsi="Times New Roman" w:cs="Times New Roman"/>
                <w:color w:val="000000"/>
              </w:rPr>
              <w:t>6</w:t>
            </w:r>
            <w:r w:rsidR="00B50AE0">
              <w:rPr>
                <w:rFonts w:ascii="Times New Roman" w:hAnsi="Times New Roman" w:cs="Times New Roman"/>
                <w:color w:val="000000"/>
              </w:rPr>
              <w:t>.</w:t>
            </w:r>
          </w:p>
        </w:tc>
        <w:tc>
          <w:tcPr>
            <w:tcW w:w="1572" w:type="pct"/>
            <w:tcBorders>
              <w:top w:val="single" w:sz="4" w:space="0" w:color="auto"/>
              <w:left w:val="single" w:sz="4" w:space="0" w:color="auto"/>
              <w:bottom w:val="single" w:sz="4" w:space="0" w:color="auto"/>
              <w:right w:val="single" w:sz="4" w:space="0" w:color="auto"/>
            </w:tcBorders>
          </w:tcPr>
          <w:p w14:paraId="4DE14081" w14:textId="37DB80B1" w:rsidR="00B50AE0" w:rsidRPr="0028500C" w:rsidRDefault="0028500C" w:rsidP="00890D1D">
            <w:pPr>
              <w:rPr>
                <w:rFonts w:ascii="Times New Roman" w:hAnsi="Times New Roman" w:cs="Times New Roman"/>
              </w:rPr>
            </w:pPr>
            <w:r w:rsidRPr="0028500C">
              <w:rPr>
                <w:rFonts w:ascii="Times New Roman" w:hAnsi="Times New Roman" w:cs="Times New Roman"/>
              </w:rPr>
              <w:t>Garantija</w:t>
            </w:r>
          </w:p>
        </w:tc>
        <w:tc>
          <w:tcPr>
            <w:tcW w:w="1573" w:type="pct"/>
            <w:tcBorders>
              <w:top w:val="single" w:sz="4" w:space="0" w:color="auto"/>
              <w:left w:val="single" w:sz="4" w:space="0" w:color="auto"/>
              <w:bottom w:val="single" w:sz="4" w:space="0" w:color="auto"/>
              <w:right w:val="single" w:sz="4" w:space="0" w:color="auto"/>
            </w:tcBorders>
          </w:tcPr>
          <w:p w14:paraId="557479CA" w14:textId="30186D83" w:rsidR="00B50AE0" w:rsidRPr="0028500C" w:rsidRDefault="00B50AE0" w:rsidP="00890D1D">
            <w:pPr>
              <w:rPr>
                <w:rFonts w:ascii="Times New Roman" w:hAnsi="Times New Roman" w:cs="Times New Roman"/>
              </w:rPr>
            </w:pPr>
            <w:r w:rsidRPr="0028500C">
              <w:rPr>
                <w:rFonts w:ascii="Times New Roman" w:hAnsi="Times New Roman" w:cs="Times New Roman"/>
              </w:rPr>
              <w:t xml:space="preserve">Ne trumpesnė nei </w:t>
            </w:r>
            <w:r w:rsidR="0028500C" w:rsidRPr="0028500C">
              <w:rPr>
                <w:rFonts w:ascii="Times New Roman" w:hAnsi="Times New Roman" w:cs="Times New Roman"/>
              </w:rPr>
              <w:t>12</w:t>
            </w:r>
            <w:r w:rsidRPr="0028500C">
              <w:rPr>
                <w:rFonts w:ascii="Times New Roman" w:hAnsi="Times New Roman" w:cs="Times New Roman"/>
              </w:rPr>
              <w:t xml:space="preserve"> mėn. </w:t>
            </w:r>
          </w:p>
        </w:tc>
        <w:tc>
          <w:tcPr>
            <w:tcW w:w="1574" w:type="pct"/>
            <w:tcBorders>
              <w:top w:val="single" w:sz="4" w:space="0" w:color="auto"/>
              <w:left w:val="single" w:sz="4" w:space="0" w:color="auto"/>
              <w:bottom w:val="single" w:sz="4" w:space="0" w:color="auto"/>
              <w:right w:val="single" w:sz="4" w:space="0" w:color="auto"/>
            </w:tcBorders>
          </w:tcPr>
          <w:p w14:paraId="70712DEB" w14:textId="77777777" w:rsidR="00B50AE0" w:rsidRPr="007249E8" w:rsidRDefault="00B50AE0" w:rsidP="00890D1D">
            <w:pPr>
              <w:rPr>
                <w:rFonts w:ascii="Times New Roman" w:hAnsi="Times New Roman" w:cs="Times New Roman"/>
                <w:color w:val="000000"/>
              </w:rPr>
            </w:pPr>
          </w:p>
        </w:tc>
      </w:tr>
    </w:tbl>
    <w:p w14:paraId="39E6397A" w14:textId="44FFA9F9" w:rsidR="001164D5" w:rsidRDefault="001164D5" w:rsidP="00F2412D">
      <w:pPr>
        <w:spacing w:after="0"/>
        <w:jc w:val="both"/>
        <w:rPr>
          <w:rFonts w:ascii="Times New Roman" w:hAnsi="Times New Roman" w:cs="Times New Roman"/>
          <w:b/>
          <w:snapToGrid w:val="0"/>
        </w:rPr>
      </w:pPr>
      <w:r w:rsidRPr="00F2412D">
        <w:rPr>
          <w:rFonts w:ascii="Times New Roman" w:hAnsi="Times New Roman" w:cs="Times New Roman"/>
          <w:b/>
          <w:snapToGrid w:val="0"/>
        </w:rPr>
        <w:t>Pateikti kartu su pasiūlymu siūlomos įrangos techninius parametrus, išskyrus pažymėtus *, patikimai patvirtinančius dokumentus (pvz. gamintojo prekės aprašymas arba internetinė nuoroda į gamintojo psl.)</w:t>
      </w:r>
      <w:r w:rsidR="00F2412D">
        <w:rPr>
          <w:rFonts w:ascii="Times New Roman" w:hAnsi="Times New Roman" w:cs="Times New Roman"/>
          <w:b/>
          <w:snapToGrid w:val="0"/>
        </w:rPr>
        <w:t>.</w:t>
      </w:r>
    </w:p>
    <w:p w14:paraId="2455E998" w14:textId="77777777" w:rsidR="00F2412D" w:rsidRDefault="00F2412D" w:rsidP="00F2412D">
      <w:pPr>
        <w:spacing w:after="0"/>
        <w:jc w:val="both"/>
        <w:rPr>
          <w:rFonts w:ascii="Times New Roman" w:hAnsi="Times New Roman" w:cs="Times New Roman"/>
          <w:b/>
          <w:snapToGrid w:val="0"/>
        </w:rPr>
      </w:pPr>
    </w:p>
    <w:sectPr w:rsidR="00F2412D"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2FEF" w14:textId="77777777" w:rsidR="00C4747C" w:rsidRDefault="00C4747C" w:rsidP="00682323">
      <w:pPr>
        <w:spacing w:after="0" w:line="240" w:lineRule="auto"/>
      </w:pPr>
      <w:r>
        <w:separator/>
      </w:r>
    </w:p>
  </w:endnote>
  <w:endnote w:type="continuationSeparator" w:id="0">
    <w:p w14:paraId="27F29717" w14:textId="77777777" w:rsidR="00C4747C" w:rsidRDefault="00C4747C"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90ED3" w14:textId="77777777" w:rsidR="00C4747C" w:rsidRDefault="00C4747C" w:rsidP="00682323">
      <w:pPr>
        <w:spacing w:after="0" w:line="240" w:lineRule="auto"/>
      </w:pPr>
      <w:r>
        <w:separator/>
      </w:r>
    </w:p>
  </w:footnote>
  <w:footnote w:type="continuationSeparator" w:id="0">
    <w:p w14:paraId="5F0374E6" w14:textId="77777777" w:rsidR="00C4747C" w:rsidRDefault="00C4747C"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w:t>
      </w:r>
      <w:proofErr w:type="spellStart"/>
      <w:r w:rsidRPr="0070330A">
        <w:rPr>
          <w:rFonts w:ascii="Times New Roman" w:hAnsi="Times New Roman" w:cs="Times New Roman"/>
          <w:sz w:val="16"/>
          <w:szCs w:val="16"/>
        </w:rPr>
        <w:t>t.y</w:t>
      </w:r>
      <w:proofErr w:type="spellEnd"/>
      <w:r w:rsidRPr="0070330A">
        <w:rPr>
          <w:rFonts w:ascii="Times New Roman" w:hAnsi="Times New Roman" w:cs="Times New Roman"/>
          <w:sz w:val="16"/>
          <w:szCs w:val="16"/>
        </w:rPr>
        <w:t>.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Default="00455D3D" w:rsidP="0070330A">
      <w:pPr>
        <w:pStyle w:val="FootnoteText"/>
        <w:jc w:val="both"/>
      </w:pPr>
      <w:r w:rsidRPr="0070330A">
        <w:rPr>
          <w:rFonts w:ascii="Times New Roman" w:hAnsi="Times New Roman" w:cs="Times New Roman"/>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70330A">
        <w:rPr>
          <w:rFonts w:ascii="Times New Roman" w:hAnsi="Times New Roman" w:cs="Times New Roman"/>
          <w:sz w:val="16"/>
          <w:szCs w:val="16"/>
        </w:rPr>
        <w:t>savideklaracija</w:t>
      </w:r>
      <w:proofErr w:type="spellEnd"/>
      <w:r w:rsidRPr="0070330A">
        <w:rPr>
          <w:rFonts w:ascii="Times New Roman" w:hAnsi="Times New Roman" w:cs="Times New Roman"/>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E24AF44E"/>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8775CE"/>
    <w:multiLevelType w:val="multilevel"/>
    <w:tmpl w:val="3EA0CC5A"/>
    <w:lvl w:ilvl="0">
      <w:start w:val="2"/>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5"/>
  </w:num>
  <w:num w:numId="3">
    <w:abstractNumId w:val="3"/>
  </w:num>
  <w:num w:numId="4">
    <w:abstractNumId w:val="19"/>
  </w:num>
  <w:num w:numId="5">
    <w:abstractNumId w:val="2"/>
  </w:num>
  <w:num w:numId="6">
    <w:abstractNumId w:val="9"/>
  </w:num>
  <w:num w:numId="7">
    <w:abstractNumId w:val="13"/>
  </w:num>
  <w:num w:numId="8">
    <w:abstractNumId w:val="0"/>
  </w:num>
  <w:num w:numId="9">
    <w:abstractNumId w:val="22"/>
  </w:num>
  <w:num w:numId="10">
    <w:abstractNumId w:val="7"/>
  </w:num>
  <w:num w:numId="11">
    <w:abstractNumId w:val="24"/>
  </w:num>
  <w:num w:numId="12">
    <w:abstractNumId w:val="12"/>
  </w:num>
  <w:num w:numId="13">
    <w:abstractNumId w:val="1"/>
  </w:num>
  <w:num w:numId="14">
    <w:abstractNumId w:val="5"/>
  </w:num>
  <w:num w:numId="15">
    <w:abstractNumId w:val="14"/>
  </w:num>
  <w:num w:numId="16">
    <w:abstractNumId w:val="23"/>
  </w:num>
  <w:num w:numId="17">
    <w:abstractNumId w:val="16"/>
  </w:num>
  <w:num w:numId="18">
    <w:abstractNumId w:val="20"/>
  </w:num>
  <w:num w:numId="19">
    <w:abstractNumId w:val="4"/>
  </w:num>
  <w:num w:numId="20">
    <w:abstractNumId w:val="17"/>
  </w:num>
  <w:num w:numId="21">
    <w:abstractNumId w:val="21"/>
  </w:num>
  <w:num w:numId="22">
    <w:abstractNumId w:val="10"/>
  </w:num>
  <w:num w:numId="23">
    <w:abstractNumId w:val="18"/>
  </w:num>
  <w:num w:numId="24">
    <w:abstractNumId w:val="8"/>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A16"/>
    <w:rsid w:val="00070A2D"/>
    <w:rsid w:val="00071D9F"/>
    <w:rsid w:val="000749F2"/>
    <w:rsid w:val="00094A35"/>
    <w:rsid w:val="000A21A7"/>
    <w:rsid w:val="000A41ED"/>
    <w:rsid w:val="000B2DF2"/>
    <w:rsid w:val="000C6221"/>
    <w:rsid w:val="000F405C"/>
    <w:rsid w:val="00104578"/>
    <w:rsid w:val="00114209"/>
    <w:rsid w:val="001164D5"/>
    <w:rsid w:val="00121DF9"/>
    <w:rsid w:val="00130DCD"/>
    <w:rsid w:val="00134EB3"/>
    <w:rsid w:val="00167EA2"/>
    <w:rsid w:val="00183393"/>
    <w:rsid w:val="001A7E68"/>
    <w:rsid w:val="001F3DD7"/>
    <w:rsid w:val="00205386"/>
    <w:rsid w:val="00206CF9"/>
    <w:rsid w:val="00212FAB"/>
    <w:rsid w:val="00225AA6"/>
    <w:rsid w:val="00245CBF"/>
    <w:rsid w:val="00277AAE"/>
    <w:rsid w:val="0028500C"/>
    <w:rsid w:val="00285F0C"/>
    <w:rsid w:val="00291187"/>
    <w:rsid w:val="002933C3"/>
    <w:rsid w:val="002C4223"/>
    <w:rsid w:val="002D3492"/>
    <w:rsid w:val="002D4370"/>
    <w:rsid w:val="002D47ED"/>
    <w:rsid w:val="002D5BBD"/>
    <w:rsid w:val="002E09D6"/>
    <w:rsid w:val="00306503"/>
    <w:rsid w:val="00314040"/>
    <w:rsid w:val="00325C64"/>
    <w:rsid w:val="00366554"/>
    <w:rsid w:val="0038363F"/>
    <w:rsid w:val="00387BEF"/>
    <w:rsid w:val="003A139E"/>
    <w:rsid w:val="003B4ED6"/>
    <w:rsid w:val="003D4EE1"/>
    <w:rsid w:val="003F06DD"/>
    <w:rsid w:val="00400260"/>
    <w:rsid w:val="0043073D"/>
    <w:rsid w:val="0043726E"/>
    <w:rsid w:val="00455D3D"/>
    <w:rsid w:val="00457A38"/>
    <w:rsid w:val="00482CF9"/>
    <w:rsid w:val="00487A0D"/>
    <w:rsid w:val="004A0C48"/>
    <w:rsid w:val="004A5BDE"/>
    <w:rsid w:val="004A7824"/>
    <w:rsid w:val="004B55FF"/>
    <w:rsid w:val="004C0120"/>
    <w:rsid w:val="004C22B2"/>
    <w:rsid w:val="004D322C"/>
    <w:rsid w:val="004D6148"/>
    <w:rsid w:val="004D7ECA"/>
    <w:rsid w:val="004F23CD"/>
    <w:rsid w:val="00547581"/>
    <w:rsid w:val="00554709"/>
    <w:rsid w:val="005900D8"/>
    <w:rsid w:val="00593AAB"/>
    <w:rsid w:val="005A0A62"/>
    <w:rsid w:val="005B21AE"/>
    <w:rsid w:val="005C460D"/>
    <w:rsid w:val="005F4D06"/>
    <w:rsid w:val="00615413"/>
    <w:rsid w:val="0062173D"/>
    <w:rsid w:val="00682323"/>
    <w:rsid w:val="006A442A"/>
    <w:rsid w:val="006B726E"/>
    <w:rsid w:val="006B796A"/>
    <w:rsid w:val="006C00A1"/>
    <w:rsid w:val="006C7A0E"/>
    <w:rsid w:val="006E1D1A"/>
    <w:rsid w:val="006E302E"/>
    <w:rsid w:val="006E5A26"/>
    <w:rsid w:val="006F032D"/>
    <w:rsid w:val="006F7F3C"/>
    <w:rsid w:val="007008CC"/>
    <w:rsid w:val="0070330A"/>
    <w:rsid w:val="007249E8"/>
    <w:rsid w:val="00736515"/>
    <w:rsid w:val="00776382"/>
    <w:rsid w:val="007828EC"/>
    <w:rsid w:val="007B5B1C"/>
    <w:rsid w:val="007C0D15"/>
    <w:rsid w:val="007C19E2"/>
    <w:rsid w:val="007C756E"/>
    <w:rsid w:val="007D0340"/>
    <w:rsid w:val="007F38C4"/>
    <w:rsid w:val="00817878"/>
    <w:rsid w:val="00824BB5"/>
    <w:rsid w:val="00863FEA"/>
    <w:rsid w:val="00890D83"/>
    <w:rsid w:val="008B56E2"/>
    <w:rsid w:val="009206AE"/>
    <w:rsid w:val="00930BFC"/>
    <w:rsid w:val="00944DAD"/>
    <w:rsid w:val="0095218E"/>
    <w:rsid w:val="0098149B"/>
    <w:rsid w:val="00984F2A"/>
    <w:rsid w:val="009869E6"/>
    <w:rsid w:val="009A4D65"/>
    <w:rsid w:val="00A00C87"/>
    <w:rsid w:val="00A01C6F"/>
    <w:rsid w:val="00A0347D"/>
    <w:rsid w:val="00A03AB8"/>
    <w:rsid w:val="00A077F3"/>
    <w:rsid w:val="00A34DC9"/>
    <w:rsid w:val="00A53524"/>
    <w:rsid w:val="00A729FB"/>
    <w:rsid w:val="00A73928"/>
    <w:rsid w:val="00A74143"/>
    <w:rsid w:val="00A7651F"/>
    <w:rsid w:val="00A9624F"/>
    <w:rsid w:val="00AF6B48"/>
    <w:rsid w:val="00B00883"/>
    <w:rsid w:val="00B06A26"/>
    <w:rsid w:val="00B12E41"/>
    <w:rsid w:val="00B1437B"/>
    <w:rsid w:val="00B31E80"/>
    <w:rsid w:val="00B50AE0"/>
    <w:rsid w:val="00B56BC8"/>
    <w:rsid w:val="00B56BD0"/>
    <w:rsid w:val="00B62F69"/>
    <w:rsid w:val="00B66FF7"/>
    <w:rsid w:val="00B67D12"/>
    <w:rsid w:val="00B776C0"/>
    <w:rsid w:val="00B86484"/>
    <w:rsid w:val="00B961AA"/>
    <w:rsid w:val="00BA49F7"/>
    <w:rsid w:val="00BF270C"/>
    <w:rsid w:val="00C04C19"/>
    <w:rsid w:val="00C15FD0"/>
    <w:rsid w:val="00C31511"/>
    <w:rsid w:val="00C344D3"/>
    <w:rsid w:val="00C438AC"/>
    <w:rsid w:val="00C4747C"/>
    <w:rsid w:val="00C55B15"/>
    <w:rsid w:val="00C71538"/>
    <w:rsid w:val="00C73886"/>
    <w:rsid w:val="00C81096"/>
    <w:rsid w:val="00CC3B99"/>
    <w:rsid w:val="00D050D6"/>
    <w:rsid w:val="00D652C3"/>
    <w:rsid w:val="00D942D2"/>
    <w:rsid w:val="00DB0D52"/>
    <w:rsid w:val="00DB7B5F"/>
    <w:rsid w:val="00DC79E6"/>
    <w:rsid w:val="00DE0C61"/>
    <w:rsid w:val="00DF47C3"/>
    <w:rsid w:val="00DF4815"/>
    <w:rsid w:val="00E17DA2"/>
    <w:rsid w:val="00E223CB"/>
    <w:rsid w:val="00E231AF"/>
    <w:rsid w:val="00E30CF3"/>
    <w:rsid w:val="00E35870"/>
    <w:rsid w:val="00E416AB"/>
    <w:rsid w:val="00E43611"/>
    <w:rsid w:val="00E51A27"/>
    <w:rsid w:val="00E53871"/>
    <w:rsid w:val="00E71818"/>
    <w:rsid w:val="00E76182"/>
    <w:rsid w:val="00E80B1A"/>
    <w:rsid w:val="00E862DF"/>
    <w:rsid w:val="00E8735F"/>
    <w:rsid w:val="00ED1C61"/>
    <w:rsid w:val="00EE29B1"/>
    <w:rsid w:val="00EF7DF5"/>
    <w:rsid w:val="00F03619"/>
    <w:rsid w:val="00F10687"/>
    <w:rsid w:val="00F23F4F"/>
    <w:rsid w:val="00F2412D"/>
    <w:rsid w:val="00F47659"/>
    <w:rsid w:val="00F558F0"/>
    <w:rsid w:val="00F56D90"/>
    <w:rsid w:val="00F63246"/>
    <w:rsid w:val="00F63A4D"/>
    <w:rsid w:val="00F674FF"/>
    <w:rsid w:val="00F80412"/>
    <w:rsid w:val="00F83FAA"/>
    <w:rsid w:val="00FB221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1714</Words>
  <Characters>978</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Indrė Chomentauskė</cp:lastModifiedBy>
  <cp:revision>4</cp:revision>
  <dcterms:created xsi:type="dcterms:W3CDTF">2025-10-17T07:50:00Z</dcterms:created>
  <dcterms:modified xsi:type="dcterms:W3CDTF">2025-10-28T14:58:00Z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