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C2A8F9C"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DB61B6">
        <w:rPr>
          <w:bCs/>
          <w:sz w:val="22"/>
          <w:szCs w:val="22"/>
        </w:rPr>
        <w:t>7</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6B22D26B" w:rsidR="009F734E" w:rsidRPr="006259BD" w:rsidRDefault="006259BD" w:rsidP="009F734E">
            <w:pPr>
              <w:autoSpaceDE w:val="0"/>
              <w:autoSpaceDN w:val="0"/>
              <w:adjustRightInd w:val="0"/>
              <w:jc w:val="both"/>
              <w:rPr>
                <w:b/>
                <w:bCs/>
                <w:sz w:val="22"/>
                <w:szCs w:val="22"/>
              </w:rPr>
            </w:pPr>
            <w:r w:rsidRPr="006259BD">
              <w:rPr>
                <w:b/>
                <w:bCs/>
                <w:sz w:val="22"/>
                <w:szCs w:val="22"/>
              </w:rPr>
              <w:t>ĮVAIRIOS MEDICINOS PRIEMONĖS (GALŪNIŲ FIKSATORIUS)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66"/>
        <w:gridCol w:w="1701"/>
        <w:gridCol w:w="6346"/>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524FAFF0" w:rsidR="006034CC" w:rsidRDefault="000D56F6" w:rsidP="00E67BE3">
            <w:pPr>
              <w:rPr>
                <w:sz w:val="22"/>
                <w:szCs w:val="22"/>
              </w:rPr>
            </w:pPr>
            <w:r w:rsidRPr="000D56F6">
              <w:rPr>
                <w:sz w:val="22"/>
                <w:szCs w:val="22"/>
              </w:rPr>
              <w:t>Vertebroneurologijos klinikos vyr. slaugos administratorė – bendrosios</w:t>
            </w:r>
            <w:r w:rsidRPr="000D56F6">
              <w:rPr>
                <w:sz w:val="22"/>
                <w:szCs w:val="22"/>
              </w:rPr>
              <w:br/>
              <w:t xml:space="preserve">praktikos slaugytoja Daiva Sudmantienė, </w:t>
            </w:r>
            <w:r>
              <w:rPr>
                <w:sz w:val="22"/>
                <w:szCs w:val="22"/>
              </w:rPr>
              <w:t xml:space="preserve">el. paštas: </w:t>
            </w:r>
            <w:r w:rsidRPr="000D56F6">
              <w:rPr>
                <w:sz w:val="22"/>
                <w:szCs w:val="22"/>
              </w:rPr>
              <w:t>daiva.sudmantiene@kul.lt</w:t>
            </w:r>
          </w:p>
          <w:p w14:paraId="13F23A34" w14:textId="77777777" w:rsidR="006034CC" w:rsidRDefault="006034CC" w:rsidP="00E67BE3">
            <w:pPr>
              <w:rPr>
                <w:sz w:val="22"/>
                <w:szCs w:val="22"/>
              </w:rPr>
            </w:pPr>
          </w:p>
          <w:p w14:paraId="7BDB61A5" w14:textId="77777777" w:rsidR="00E417EC" w:rsidRDefault="00E417EC" w:rsidP="00FF2E3C">
            <w:pPr>
              <w:rPr>
                <w:sz w:val="22"/>
                <w:szCs w:val="22"/>
                <w:shd w:val="clear" w:color="auto" w:fill="FFFFFF"/>
              </w:rPr>
            </w:pPr>
          </w:p>
          <w:p w14:paraId="3512ED26" w14:textId="4A6DF964" w:rsidR="00872402" w:rsidRDefault="000D56F6" w:rsidP="00FF2E3C">
            <w:pPr>
              <w:jc w:val="both"/>
              <w:rPr>
                <w:sz w:val="22"/>
                <w:szCs w:val="22"/>
                <w:shd w:val="clear" w:color="auto" w:fill="FFFFFF"/>
              </w:rPr>
            </w:pPr>
            <w:r w:rsidRPr="000D56F6">
              <w:rPr>
                <w:sz w:val="22"/>
                <w:szCs w:val="22"/>
                <w:shd w:val="clear" w:color="auto" w:fill="FFFFFF"/>
              </w:rPr>
              <w:t>Vaistinės vadovė Žemyna Bredelienė, tel. +370 46 396510, el.</w:t>
            </w:r>
            <w:r>
              <w:rPr>
                <w:sz w:val="22"/>
                <w:szCs w:val="22"/>
                <w:shd w:val="clear" w:color="auto" w:fill="FFFFFF"/>
              </w:rPr>
              <w:t xml:space="preserve"> </w:t>
            </w:r>
            <w:r w:rsidRPr="000D56F6">
              <w:rPr>
                <w:sz w:val="22"/>
                <w:szCs w:val="22"/>
                <w:shd w:val="clear" w:color="auto" w:fill="FFFFFF"/>
              </w:rPr>
              <w:t>paštas</w:t>
            </w:r>
            <w:r>
              <w:rPr>
                <w:sz w:val="22"/>
                <w:szCs w:val="22"/>
                <w:shd w:val="clear" w:color="auto" w:fill="FFFFFF"/>
              </w:rPr>
              <w:t xml:space="preserve"> zemyna.bredeliene@kulig.lt</w:t>
            </w:r>
          </w:p>
          <w:p w14:paraId="278A5470" w14:textId="77777777" w:rsidR="00872402" w:rsidRDefault="00872402" w:rsidP="00FF2E3C">
            <w:pPr>
              <w:jc w:val="both"/>
              <w:rPr>
                <w:sz w:val="22"/>
                <w:szCs w:val="22"/>
                <w:shd w:val="clear" w:color="auto" w:fill="FFFFFF"/>
              </w:rPr>
            </w:pPr>
          </w:p>
          <w:p w14:paraId="18E15894" w14:textId="77777777" w:rsidR="00FD7FE4" w:rsidRDefault="00FD7FE4" w:rsidP="00FF2E3C">
            <w:pPr>
              <w:jc w:val="both"/>
              <w:rPr>
                <w:sz w:val="22"/>
                <w:szCs w:val="22"/>
                <w:shd w:val="clear" w:color="auto" w:fill="FFFFFF"/>
              </w:rPr>
            </w:pPr>
          </w:p>
          <w:p w14:paraId="25B9A59D" w14:textId="77777777" w:rsidR="005E0E02" w:rsidRDefault="005E0E02" w:rsidP="00FF2E3C">
            <w:pPr>
              <w:jc w:val="both"/>
              <w:rPr>
                <w:sz w:val="22"/>
                <w:szCs w:val="22"/>
                <w:shd w:val="clear" w:color="auto" w:fill="FFFFFF"/>
              </w:rPr>
            </w:pPr>
          </w:p>
          <w:p w14:paraId="2325337C" w14:textId="77777777" w:rsidR="005E0E02" w:rsidRDefault="005E0E02" w:rsidP="00FF2E3C">
            <w:pPr>
              <w:jc w:val="both"/>
              <w:rPr>
                <w:sz w:val="22"/>
                <w:szCs w:val="22"/>
                <w:shd w:val="clear" w:color="auto" w:fill="FFFFFF"/>
              </w:rPr>
            </w:pPr>
          </w:p>
          <w:p w14:paraId="61F9B250" w14:textId="5E133D58"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1"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67F229D" w14:textId="77777777" w:rsidR="00521C8D" w:rsidRPr="00521C8D" w:rsidRDefault="00521C8D" w:rsidP="00521C8D">
            <w:pPr>
              <w:rPr>
                <w:sz w:val="22"/>
                <w:szCs w:val="22"/>
              </w:rPr>
            </w:pPr>
            <w:r w:rsidRPr="00521C8D">
              <w:rPr>
                <w:sz w:val="22"/>
                <w:szCs w:val="22"/>
              </w:rPr>
              <w:t>Tiekėjas įsipareigoja Sutartyje numatytomis sąlygomis perduoti Pirkėjui Sutarties 1 priede nurodytas prekes (toliau – Prekės).</w:t>
            </w:r>
          </w:p>
          <w:p w14:paraId="74009C55" w14:textId="565FA212" w:rsidR="009F734E" w:rsidRPr="00B96C6D" w:rsidRDefault="00521C8D" w:rsidP="00521C8D">
            <w:pPr>
              <w:jc w:val="both"/>
              <w:rPr>
                <w:color w:val="000000"/>
                <w:kern w:val="2"/>
                <w:sz w:val="22"/>
                <w:szCs w:val="22"/>
              </w:rPr>
            </w:pPr>
            <w:r w:rsidRPr="00521C8D">
              <w:rPr>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110D00A" w:rsidR="00A12F1C" w:rsidRPr="00B96C6D" w:rsidRDefault="00521C8D">
            <w:pPr>
              <w:rPr>
                <w:kern w:val="2"/>
                <w:sz w:val="22"/>
                <w:szCs w:val="22"/>
              </w:rPr>
            </w:pPr>
            <w:r>
              <w:rPr>
                <w:sz w:val="22"/>
                <w:szCs w:val="22"/>
              </w:rPr>
              <w:t>Įvairios medicinos priemonės (galūnių fiksatorius)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3F391B2" w:rsidR="00B767F3" w:rsidRPr="00E53E5C" w:rsidRDefault="008012F8"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0D780A38" w14:textId="1C8A0882" w:rsidR="008012F8" w:rsidRPr="008012F8" w:rsidRDefault="008012F8" w:rsidP="008012F8">
            <w:pPr>
              <w:jc w:val="both"/>
              <w:rPr>
                <w:kern w:val="2"/>
                <w:sz w:val="22"/>
                <w:szCs w:val="22"/>
              </w:rPr>
            </w:pPr>
            <w:r w:rsidRPr="008012F8">
              <w:rPr>
                <w:kern w:val="2"/>
                <w:sz w:val="22"/>
                <w:szCs w:val="22"/>
              </w:rPr>
              <w:t xml:space="preserve">Tiekėjas pagal atskirą užsakymą įsipareigoja pristatyti Prekes ne vėliau kaip per </w:t>
            </w:r>
            <w:r w:rsidRPr="008012F8">
              <w:rPr>
                <w:b/>
                <w:bCs/>
                <w:kern w:val="2"/>
                <w:sz w:val="22"/>
                <w:szCs w:val="22"/>
              </w:rPr>
              <w:t>5</w:t>
            </w:r>
            <w:r>
              <w:rPr>
                <w:b/>
                <w:bCs/>
                <w:kern w:val="2"/>
                <w:sz w:val="22"/>
                <w:szCs w:val="22"/>
              </w:rPr>
              <w:t xml:space="preserve"> (penkias)</w:t>
            </w:r>
            <w:r w:rsidRPr="008012F8">
              <w:rPr>
                <w:b/>
                <w:bCs/>
                <w:kern w:val="2"/>
                <w:sz w:val="22"/>
                <w:szCs w:val="22"/>
              </w:rPr>
              <w:t xml:space="preserve"> darbo dien</w:t>
            </w:r>
            <w:r>
              <w:rPr>
                <w:b/>
                <w:bCs/>
                <w:kern w:val="2"/>
                <w:sz w:val="22"/>
                <w:szCs w:val="22"/>
              </w:rPr>
              <w:t>as</w:t>
            </w:r>
            <w:r w:rsidRPr="008012F8">
              <w:rPr>
                <w:b/>
                <w:bCs/>
                <w:kern w:val="2"/>
                <w:sz w:val="22"/>
                <w:szCs w:val="22"/>
              </w:rPr>
              <w:t xml:space="preserve"> nuo užsakymo pateikimo dienos</w:t>
            </w:r>
            <w:r w:rsidRPr="008012F8">
              <w:rPr>
                <w:kern w:val="2"/>
                <w:sz w:val="22"/>
                <w:szCs w:val="22"/>
              </w:rPr>
              <w:t xml:space="preserve"> šiuo adres</w:t>
            </w:r>
            <w:r>
              <w:rPr>
                <w:kern w:val="2"/>
                <w:sz w:val="22"/>
                <w:szCs w:val="22"/>
              </w:rPr>
              <w:t>ais</w:t>
            </w:r>
            <w:r w:rsidRPr="008012F8">
              <w:rPr>
                <w:kern w:val="2"/>
                <w:sz w:val="22"/>
                <w:szCs w:val="22"/>
              </w:rPr>
              <w:t>:</w:t>
            </w:r>
          </w:p>
          <w:p w14:paraId="17BD2B2B" w14:textId="4E42676C" w:rsidR="00C279C7" w:rsidRPr="002C64DC" w:rsidRDefault="008012F8" w:rsidP="008012F8">
            <w:pPr>
              <w:jc w:val="both"/>
              <w:textAlignment w:val="baseline"/>
              <w:rPr>
                <w:sz w:val="22"/>
                <w:szCs w:val="22"/>
              </w:rPr>
            </w:pPr>
            <w:r w:rsidRPr="008012F8">
              <w:rPr>
                <w:kern w:val="2"/>
                <w:sz w:val="22"/>
                <w:szCs w:val="22"/>
              </w:rPr>
              <w:t>VšĮ Klaipėdos universiteto ligoninė, Liepojos g. 4</w:t>
            </w:r>
            <w:r>
              <w:rPr>
                <w:kern w:val="2"/>
                <w:sz w:val="22"/>
                <w:szCs w:val="22"/>
              </w:rPr>
              <w:t>1 ir Liepojos g. 45</w:t>
            </w:r>
            <w:r w:rsidRPr="008012F8">
              <w:rPr>
                <w:kern w:val="2"/>
                <w:sz w:val="22"/>
                <w:szCs w:val="22"/>
              </w:rPr>
              <w:t>, Klaipėda LT-92288.</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1163CA42" w:rsidR="00B767F3" w:rsidRPr="00B132AC" w:rsidRDefault="00B31ACC"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7D4B619" w14:textId="77777777" w:rsidR="003B185C" w:rsidRDefault="003B185C" w:rsidP="003B185C">
            <w:pPr>
              <w:jc w:val="both"/>
              <w:rPr>
                <w:kern w:val="2"/>
                <w:sz w:val="22"/>
                <w:szCs w:val="22"/>
                <w:highlight w:val="yellow"/>
              </w:rPr>
            </w:pPr>
            <w:r>
              <w:rPr>
                <w:sz w:val="22"/>
                <w:szCs w:val="22"/>
              </w:rPr>
              <w:t xml:space="preserve">Dokumentai nurodyti </w:t>
            </w:r>
            <w:r>
              <w:rPr>
                <w:kern w:val="2"/>
                <w:sz w:val="22"/>
                <w:szCs w:val="22"/>
              </w:rPr>
              <w:t>Sutarties priede Nr. 1 „Techninė specifikacija“.</w:t>
            </w:r>
          </w:p>
          <w:p w14:paraId="73FFA04B" w14:textId="3B44D1F0" w:rsidR="00641B5E" w:rsidRPr="005B3AA3" w:rsidRDefault="00641B5E"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72D50863" w14:textId="77777777" w:rsidR="003B185C" w:rsidRPr="003B185C" w:rsidRDefault="003B185C" w:rsidP="003B185C">
            <w:pPr>
              <w:rPr>
                <w:kern w:val="2"/>
                <w:sz w:val="22"/>
                <w:szCs w:val="22"/>
              </w:rPr>
            </w:pPr>
            <w:r w:rsidRPr="003B185C">
              <w:rPr>
                <w:kern w:val="2"/>
                <w:sz w:val="22"/>
                <w:szCs w:val="22"/>
              </w:rPr>
              <w:t>Fiksuoto įkainio 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236264BB" w:rsidR="00B132AC" w:rsidRDefault="00B132AC" w:rsidP="00B132AC">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3B185C">
              <w:rPr>
                <w:b/>
                <w:bCs/>
                <w:kern w:val="2"/>
                <w:szCs w:val="24"/>
                <w:u w:val="single"/>
              </w:rPr>
              <w:t xml:space="preserve">įkainio </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3339EC3" w14:textId="77777777" w:rsidR="003B185C" w:rsidRPr="003B185C" w:rsidRDefault="003B185C" w:rsidP="003B185C">
            <w:pPr>
              <w:rPr>
                <w:kern w:val="2"/>
                <w:sz w:val="22"/>
                <w:szCs w:val="22"/>
              </w:rPr>
            </w:pPr>
            <w:r w:rsidRPr="003B185C">
              <w:rPr>
                <w:kern w:val="2"/>
                <w:sz w:val="22"/>
                <w:szCs w:val="22"/>
              </w:rPr>
              <w:t xml:space="preserve">Pradinės Sutarties vertė yra (nurodyti sumą skaičiais) Eur, (nurodyti sumą žodžiais) be PVM. </w:t>
            </w:r>
          </w:p>
          <w:p w14:paraId="7E5E8D48" w14:textId="77777777" w:rsidR="003B185C" w:rsidRPr="003B185C" w:rsidRDefault="003B185C" w:rsidP="003B185C">
            <w:pPr>
              <w:rPr>
                <w:kern w:val="2"/>
                <w:sz w:val="22"/>
                <w:szCs w:val="22"/>
              </w:rPr>
            </w:pPr>
            <w:r w:rsidRPr="003B185C">
              <w:rPr>
                <w:kern w:val="2"/>
                <w:sz w:val="22"/>
                <w:szCs w:val="22"/>
              </w:rPr>
              <w:t>PVM sudaro (nurodyti sumą skaičiais) Eur, (nurodyti sumą žodžiais).</w:t>
            </w:r>
          </w:p>
          <w:p w14:paraId="0C5EF952" w14:textId="77777777" w:rsidR="003B185C" w:rsidRPr="003B185C" w:rsidRDefault="003B185C" w:rsidP="003B185C">
            <w:pPr>
              <w:rPr>
                <w:kern w:val="2"/>
                <w:sz w:val="22"/>
                <w:szCs w:val="22"/>
              </w:rPr>
            </w:pPr>
            <w:r w:rsidRPr="003B185C">
              <w:rPr>
                <w:kern w:val="2"/>
                <w:sz w:val="22"/>
                <w:szCs w:val="22"/>
              </w:rPr>
              <w:t>Sutarties kaina yra (nurodyti sumą skaičiais) Eur, (nurodyti sumą žodžiais) Eur su PVM.</w:t>
            </w:r>
          </w:p>
          <w:p w14:paraId="328F8380" w14:textId="77777777" w:rsidR="003B185C" w:rsidRPr="003B185C" w:rsidRDefault="003B185C" w:rsidP="003B185C">
            <w:pPr>
              <w:rPr>
                <w:kern w:val="2"/>
                <w:sz w:val="22"/>
                <w:szCs w:val="22"/>
              </w:rPr>
            </w:pPr>
          </w:p>
          <w:p w14:paraId="46B48EA1" w14:textId="77777777" w:rsidR="003B185C" w:rsidRDefault="003B185C" w:rsidP="003B185C">
            <w:pPr>
              <w:rPr>
                <w:kern w:val="2"/>
                <w:sz w:val="22"/>
                <w:szCs w:val="22"/>
              </w:rPr>
            </w:pPr>
            <w:r w:rsidRPr="003B185C">
              <w:rPr>
                <w:kern w:val="2"/>
                <w:sz w:val="22"/>
                <w:szCs w:val="22"/>
              </w:rPr>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7ADB130E" w14:textId="6547A28E" w:rsidR="003B185C" w:rsidRDefault="003B185C" w:rsidP="003B185C">
            <w:pPr>
              <w:rPr>
                <w:kern w:val="2"/>
                <w:sz w:val="22"/>
                <w:szCs w:val="22"/>
              </w:rPr>
            </w:pPr>
            <w:r w:rsidRPr="003B185C">
              <w:rPr>
                <w:kern w:val="2"/>
                <w:sz w:val="22"/>
                <w:szCs w:val="22"/>
              </w:rPr>
              <w:t>Pirkėjas neįsipareigoja išpirkti maksimalaus Prekių kiekio.</w:t>
            </w:r>
          </w:p>
          <w:p w14:paraId="392A8B8E" w14:textId="77777777" w:rsidR="00DE3035" w:rsidRDefault="00DE3035" w:rsidP="003B185C">
            <w:pPr>
              <w:rPr>
                <w:kern w:val="2"/>
                <w:sz w:val="22"/>
                <w:szCs w:val="22"/>
              </w:rPr>
            </w:pPr>
          </w:p>
          <w:p w14:paraId="01BFD1E7" w14:textId="69A11FA3" w:rsidR="00142858" w:rsidRPr="00DB67F7" w:rsidRDefault="00142858" w:rsidP="003B185C">
            <w:pPr>
              <w:shd w:val="clear" w:color="auto" w:fill="D0CECE" w:themeFill="background2" w:themeFillShade="E6"/>
              <w:jc w:val="both"/>
              <w:rPr>
                <w:color w:val="000000"/>
                <w:kern w:val="2"/>
                <w:sz w:val="20"/>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3EAE99F8" w14:textId="77777777" w:rsidR="007F4131" w:rsidRPr="007F4131" w:rsidRDefault="007F4131" w:rsidP="007F4131">
            <w:pPr>
              <w:rPr>
                <w:kern w:val="2"/>
                <w:sz w:val="22"/>
                <w:szCs w:val="22"/>
              </w:rPr>
            </w:pPr>
            <w:r w:rsidRPr="007F4131">
              <w:rPr>
                <w:kern w:val="2"/>
                <w:sz w:val="22"/>
                <w:szCs w:val="22"/>
              </w:rPr>
              <w:t>5.3.2. dėl kainų lygio pokyčio.</w:t>
            </w:r>
          </w:p>
          <w:p w14:paraId="7ED2A1D2" w14:textId="77777777" w:rsidR="007F4131" w:rsidRDefault="007F4131">
            <w:pPr>
              <w:rPr>
                <w:kern w:val="2"/>
                <w:sz w:val="22"/>
                <w:szCs w:val="22"/>
              </w:rPr>
            </w:pP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lastRenderedPageBreak/>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70FC535" w:rsidR="008540A2" w:rsidRPr="00B96C6D" w:rsidRDefault="007F4131" w:rsidP="00902B93">
            <w:pPr>
              <w:jc w:val="both"/>
              <w:textAlignment w:val="baseline"/>
              <w:rPr>
                <w:kern w:val="2"/>
                <w:sz w:val="22"/>
                <w:szCs w:val="22"/>
                <w:bdr w:val="none" w:sz="0" w:space="0" w:color="auto" w:frame="1"/>
              </w:rPr>
            </w:pPr>
            <w:r w:rsidRPr="007F4131">
              <w:rPr>
                <w:noProof/>
                <w:kern w:val="2"/>
                <w:sz w:val="22"/>
                <w:szCs w:val="22"/>
              </w:rPr>
              <w:drawing>
                <wp:inline distT="0" distB="0" distL="0" distR="0" wp14:anchorId="1EF8F321" wp14:editId="2092B3FD">
                  <wp:extent cx="6124575" cy="7134225"/>
                  <wp:effectExtent l="0" t="0" r="9525" b="9525"/>
                  <wp:docPr id="148357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7134225"/>
                          </a:xfrm>
                          <a:prstGeom prst="rect">
                            <a:avLst/>
                          </a:prstGeom>
                          <a:noFill/>
                          <a:ln>
                            <a:noFill/>
                          </a:ln>
                        </pic:spPr>
                      </pic:pic>
                    </a:graphicData>
                  </a:graphic>
                </wp:inline>
              </w:drawing>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w:t>
            </w:r>
            <w:r w:rsidRPr="00B96C6D">
              <w:rPr>
                <w:b/>
                <w:bCs/>
                <w:kern w:val="2"/>
                <w:sz w:val="22"/>
                <w:szCs w:val="22"/>
              </w:rPr>
              <w:lastRenderedPageBreak/>
              <w:t xml:space="preserve">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lastRenderedPageBreak/>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88C65FE" w:rsidR="008540A2" w:rsidRPr="0013403F" w:rsidRDefault="00B778D1" w:rsidP="008540A2">
            <w:pPr>
              <w:jc w:val="both"/>
              <w:rPr>
                <w:kern w:val="2"/>
                <w:sz w:val="22"/>
                <w:szCs w:val="22"/>
              </w:rPr>
            </w:pPr>
            <w:r w:rsidRPr="00B778D1">
              <w:rPr>
                <w:kern w:val="2"/>
                <w:sz w:val="22"/>
                <w:szCs w:val="22"/>
                <w:shd w:val="clear" w:color="auto" w:fill="FFFFFF"/>
              </w:rPr>
              <w:t>Apmokėjimo sąlygos įvykdžius užsakymą, mokama už konkretų kiekį / apimtį pagal nustatytus įkainius.</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lastRenderedPageBreak/>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lastRenderedPageBreak/>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lastRenderedPageBreak/>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lastRenderedPageBreak/>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7DE5900B" w14:textId="77777777" w:rsidR="00B778D1" w:rsidRDefault="00B778D1" w:rsidP="00B778D1">
            <w:pPr>
              <w:rPr>
                <w:kern w:val="2"/>
                <w:sz w:val="22"/>
                <w:szCs w:val="22"/>
              </w:rPr>
            </w:pPr>
            <w:r>
              <w:rPr>
                <w:kern w:val="2"/>
                <w:sz w:val="22"/>
                <w:szCs w:val="22"/>
              </w:rPr>
              <w:t>Ši Sutartis laikoma sudaryta ir įsigalioja nuo Sutarties pasirašymo dienos (antrosios Šalies pasirašymo dieną).</w:t>
            </w:r>
          </w:p>
          <w:p w14:paraId="0DC01EF2" w14:textId="6212D34E" w:rsidR="008540A2" w:rsidRPr="000D76B6" w:rsidRDefault="00B778D1" w:rsidP="00B778D1">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Pr>
                <w:b/>
                <w:bCs/>
                <w:color w:val="000000"/>
                <w:kern w:val="2"/>
                <w:sz w:val="22"/>
                <w:szCs w:val="22"/>
              </w:rPr>
              <w:t>36</w:t>
            </w:r>
            <w:r>
              <w:rPr>
                <w:b/>
                <w:bCs/>
                <w:kern w:val="2"/>
                <w:sz w:val="22"/>
                <w:szCs w:val="22"/>
              </w:rPr>
              <w:t xml:space="preserve"> mėnesiai</w:t>
            </w:r>
            <w:r>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03A2E280" w:rsidR="008540A2" w:rsidRPr="00A733D8" w:rsidRDefault="00B778D1" w:rsidP="008540A2">
            <w:pPr>
              <w:jc w:val="both"/>
              <w:rPr>
                <w:rFonts w:eastAsia="Arial"/>
                <w:color w:val="000000" w:themeColor="text1"/>
                <w:sz w:val="22"/>
                <w:szCs w:val="22"/>
              </w:rPr>
            </w:pPr>
            <w:r>
              <w:rPr>
                <w:color w:val="000000" w:themeColor="text1"/>
                <w:kern w:val="2"/>
                <w:sz w:val="22"/>
                <w:szCs w:val="22"/>
              </w:rPr>
              <w:t>Netaikoma.</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27E75450" w14:textId="77777777" w:rsidR="00794971" w:rsidRPr="00794971" w:rsidRDefault="00794971" w:rsidP="00794971">
            <w:pPr>
              <w:jc w:val="both"/>
              <w:rPr>
                <w:kern w:val="2"/>
                <w:sz w:val="22"/>
                <w:szCs w:val="22"/>
              </w:rPr>
            </w:pPr>
            <w:r w:rsidRPr="00794971">
              <w:rPr>
                <w:kern w:val="2"/>
                <w:sz w:val="22"/>
                <w:szCs w:val="22"/>
              </w:rPr>
              <w:t>12.2.1. jeigu Tiekėjas nevykdo prisiimtų įsipareigojimų už Sutartyje nustatytą Sutarties kainą / įkainius;</w:t>
            </w:r>
          </w:p>
          <w:p w14:paraId="709A4B2A" w14:textId="77777777" w:rsidR="00794971" w:rsidRPr="00794971" w:rsidRDefault="00794971" w:rsidP="00794971">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6A427CBF" w14:textId="77777777" w:rsidR="00794971" w:rsidRPr="00794971" w:rsidRDefault="00794971" w:rsidP="00794971">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13B89A35" w14:textId="77777777" w:rsidR="00794971" w:rsidRPr="00794971" w:rsidRDefault="00794971" w:rsidP="00794971">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2C00AF88" w14:textId="77777777" w:rsidR="00794971" w:rsidRPr="00794971" w:rsidRDefault="00794971" w:rsidP="00794971">
            <w:pPr>
              <w:jc w:val="both"/>
              <w:rPr>
                <w:kern w:val="2"/>
                <w:sz w:val="22"/>
                <w:szCs w:val="22"/>
              </w:rPr>
            </w:pPr>
            <w:r w:rsidRPr="00794971">
              <w:rPr>
                <w:kern w:val="2"/>
                <w:sz w:val="22"/>
                <w:szCs w:val="22"/>
              </w:rPr>
              <w:t>12.2.5. Tiekėjas daugiau kaip 2 (du) kartus pristato Prekes, kurios neatitinka Sutartyje ir (ar) Įstatymuose nustatytų reikalavimų Prekėms;</w:t>
            </w:r>
          </w:p>
          <w:p w14:paraId="315ACACD" w14:textId="77777777" w:rsidR="00794971" w:rsidRPr="00794971" w:rsidRDefault="00794971" w:rsidP="00794971">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22DE83" w14:textId="77777777" w:rsidR="00794971" w:rsidRPr="00794971" w:rsidRDefault="00794971" w:rsidP="00794971">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6BBEF85E" w:rsidR="008540A2" w:rsidRPr="00B96C6D" w:rsidRDefault="00794971" w:rsidP="00794971">
            <w:pPr>
              <w:tabs>
                <w:tab w:val="left" w:pos="567"/>
                <w:tab w:val="left" w:pos="851"/>
                <w:tab w:val="left" w:pos="992"/>
                <w:tab w:val="left" w:pos="1134"/>
              </w:tabs>
              <w:spacing w:line="257" w:lineRule="auto"/>
              <w:jc w:val="both"/>
              <w:rPr>
                <w:rFonts w:eastAsia="Arial"/>
                <w:kern w:val="2"/>
                <w:sz w:val="22"/>
                <w:szCs w:val="22"/>
              </w:rPr>
            </w:pPr>
            <w:r w:rsidRPr="00794971">
              <w:rPr>
                <w:kern w:val="2"/>
                <w:sz w:val="22"/>
                <w:szCs w:val="22"/>
              </w:rPr>
              <w:t>12.2.8. Tiekėjas 2 (du) kartus pažeidžia esminę Sutarties sąlygą.</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lastRenderedPageBreak/>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6F6371F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186DC8">
        <w:rPr>
          <w:bCs/>
          <w:sz w:val="22"/>
          <w:szCs w:val="22"/>
        </w:rPr>
        <w:t>0</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5B9596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77AD" w14:textId="77777777" w:rsidR="00AD7000" w:rsidRDefault="00AD7000">
      <w:r>
        <w:separator/>
      </w:r>
    </w:p>
  </w:endnote>
  <w:endnote w:type="continuationSeparator" w:id="0">
    <w:p w14:paraId="2568FBB0" w14:textId="77777777" w:rsidR="00AD7000" w:rsidRDefault="00AD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54D8" w14:textId="77777777" w:rsidR="00AD7000" w:rsidRDefault="00AD7000">
      <w:r>
        <w:separator/>
      </w:r>
    </w:p>
  </w:footnote>
  <w:footnote w:type="continuationSeparator" w:id="0">
    <w:p w14:paraId="35D68390" w14:textId="77777777" w:rsidR="00AD7000" w:rsidRDefault="00AD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37.8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75B"/>
    <w:rsid w:val="00047289"/>
    <w:rsid w:val="000515B5"/>
    <w:rsid w:val="00053937"/>
    <w:rsid w:val="000601A7"/>
    <w:rsid w:val="00062248"/>
    <w:rsid w:val="000641C1"/>
    <w:rsid w:val="00072458"/>
    <w:rsid w:val="00082365"/>
    <w:rsid w:val="000A4038"/>
    <w:rsid w:val="000A47C6"/>
    <w:rsid w:val="000A79C4"/>
    <w:rsid w:val="000B4516"/>
    <w:rsid w:val="000C1F0F"/>
    <w:rsid w:val="000D56F6"/>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4364"/>
    <w:rsid w:val="003939FF"/>
    <w:rsid w:val="003A0D63"/>
    <w:rsid w:val="003A2159"/>
    <w:rsid w:val="003B185C"/>
    <w:rsid w:val="003B2818"/>
    <w:rsid w:val="003E5D1D"/>
    <w:rsid w:val="003E7AE5"/>
    <w:rsid w:val="004022AB"/>
    <w:rsid w:val="00404614"/>
    <w:rsid w:val="00411764"/>
    <w:rsid w:val="00412904"/>
    <w:rsid w:val="00412EC1"/>
    <w:rsid w:val="004154E6"/>
    <w:rsid w:val="004225B3"/>
    <w:rsid w:val="0044527E"/>
    <w:rsid w:val="004508F6"/>
    <w:rsid w:val="004564B0"/>
    <w:rsid w:val="004757E3"/>
    <w:rsid w:val="004838AC"/>
    <w:rsid w:val="00486663"/>
    <w:rsid w:val="00491BE4"/>
    <w:rsid w:val="00491CA5"/>
    <w:rsid w:val="004A1FB5"/>
    <w:rsid w:val="004C01AB"/>
    <w:rsid w:val="004C6D1D"/>
    <w:rsid w:val="004D1EE9"/>
    <w:rsid w:val="004D51D8"/>
    <w:rsid w:val="004E1D64"/>
    <w:rsid w:val="004E4768"/>
    <w:rsid w:val="004F54D2"/>
    <w:rsid w:val="00504A6C"/>
    <w:rsid w:val="00516EEE"/>
    <w:rsid w:val="00521C8D"/>
    <w:rsid w:val="0052328B"/>
    <w:rsid w:val="00531E66"/>
    <w:rsid w:val="005409B2"/>
    <w:rsid w:val="00554F6D"/>
    <w:rsid w:val="0056187B"/>
    <w:rsid w:val="00565B40"/>
    <w:rsid w:val="00566F53"/>
    <w:rsid w:val="005670EB"/>
    <w:rsid w:val="005727C7"/>
    <w:rsid w:val="005828DD"/>
    <w:rsid w:val="00587E3C"/>
    <w:rsid w:val="0059486C"/>
    <w:rsid w:val="00595C0B"/>
    <w:rsid w:val="005A3F60"/>
    <w:rsid w:val="005B3AA3"/>
    <w:rsid w:val="005C36DA"/>
    <w:rsid w:val="005C54DD"/>
    <w:rsid w:val="005E0E02"/>
    <w:rsid w:val="005E3F91"/>
    <w:rsid w:val="005F3CB0"/>
    <w:rsid w:val="005F6D12"/>
    <w:rsid w:val="006032C3"/>
    <w:rsid w:val="006034CC"/>
    <w:rsid w:val="00607888"/>
    <w:rsid w:val="006156E7"/>
    <w:rsid w:val="006259BD"/>
    <w:rsid w:val="00630A8A"/>
    <w:rsid w:val="0063734C"/>
    <w:rsid w:val="00641B5E"/>
    <w:rsid w:val="00643FA0"/>
    <w:rsid w:val="0065145A"/>
    <w:rsid w:val="006541B5"/>
    <w:rsid w:val="0065441F"/>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94971"/>
    <w:rsid w:val="007D36F6"/>
    <w:rsid w:val="007E26F5"/>
    <w:rsid w:val="007E3458"/>
    <w:rsid w:val="007E3B6A"/>
    <w:rsid w:val="007F03B7"/>
    <w:rsid w:val="007F22F9"/>
    <w:rsid w:val="007F4131"/>
    <w:rsid w:val="008012F8"/>
    <w:rsid w:val="008053FE"/>
    <w:rsid w:val="008065F5"/>
    <w:rsid w:val="00816C61"/>
    <w:rsid w:val="00840582"/>
    <w:rsid w:val="008540A2"/>
    <w:rsid w:val="00854BF6"/>
    <w:rsid w:val="008618E2"/>
    <w:rsid w:val="0087240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685C"/>
    <w:rsid w:val="0093261F"/>
    <w:rsid w:val="00936EF3"/>
    <w:rsid w:val="00946717"/>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34914"/>
    <w:rsid w:val="00A3609A"/>
    <w:rsid w:val="00A4016D"/>
    <w:rsid w:val="00A412B3"/>
    <w:rsid w:val="00A43098"/>
    <w:rsid w:val="00A47B6D"/>
    <w:rsid w:val="00A57B12"/>
    <w:rsid w:val="00A643A0"/>
    <w:rsid w:val="00A733D8"/>
    <w:rsid w:val="00A97284"/>
    <w:rsid w:val="00AA29DE"/>
    <w:rsid w:val="00AB3BDE"/>
    <w:rsid w:val="00AC0450"/>
    <w:rsid w:val="00AC5048"/>
    <w:rsid w:val="00AC7BA5"/>
    <w:rsid w:val="00AD0EC2"/>
    <w:rsid w:val="00AD7000"/>
    <w:rsid w:val="00AF0870"/>
    <w:rsid w:val="00AF3AC8"/>
    <w:rsid w:val="00B02783"/>
    <w:rsid w:val="00B132AC"/>
    <w:rsid w:val="00B31512"/>
    <w:rsid w:val="00B31ACC"/>
    <w:rsid w:val="00B36864"/>
    <w:rsid w:val="00B37347"/>
    <w:rsid w:val="00B42595"/>
    <w:rsid w:val="00B546D3"/>
    <w:rsid w:val="00B56E69"/>
    <w:rsid w:val="00B70189"/>
    <w:rsid w:val="00B767F3"/>
    <w:rsid w:val="00B778D1"/>
    <w:rsid w:val="00B80121"/>
    <w:rsid w:val="00B828BE"/>
    <w:rsid w:val="00B87C86"/>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279C7"/>
    <w:rsid w:val="00C41479"/>
    <w:rsid w:val="00C44FF8"/>
    <w:rsid w:val="00C45F61"/>
    <w:rsid w:val="00C478DF"/>
    <w:rsid w:val="00C56A25"/>
    <w:rsid w:val="00C645EE"/>
    <w:rsid w:val="00C7195D"/>
    <w:rsid w:val="00C743B7"/>
    <w:rsid w:val="00C74FDF"/>
    <w:rsid w:val="00C81F89"/>
    <w:rsid w:val="00C82832"/>
    <w:rsid w:val="00C85F58"/>
    <w:rsid w:val="00CB4507"/>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3968"/>
    <w:rsid w:val="00D5570B"/>
    <w:rsid w:val="00D660F4"/>
    <w:rsid w:val="00D8329D"/>
    <w:rsid w:val="00DA4AFA"/>
    <w:rsid w:val="00DB0E96"/>
    <w:rsid w:val="00DB61B6"/>
    <w:rsid w:val="00DB67F7"/>
    <w:rsid w:val="00DC47D4"/>
    <w:rsid w:val="00DD7479"/>
    <w:rsid w:val="00DE3035"/>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D7FE4"/>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64459</Words>
  <Characters>36742</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22</cp:revision>
  <dcterms:created xsi:type="dcterms:W3CDTF">2025-10-22T02:38:00Z</dcterms:created>
  <dcterms:modified xsi:type="dcterms:W3CDTF">2025-10-28T18:59:00Z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