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5A40" w14:textId="75114B1C" w:rsidR="150EEB94" w:rsidRPr="008D4C1F" w:rsidRDefault="150EEB94" w:rsidP="2FDC7663">
      <w:pPr>
        <w:spacing w:before="240" w:after="240"/>
        <w:jc w:val="center"/>
        <w:rPr>
          <w:lang w:val="lt-LT"/>
        </w:rPr>
      </w:pPr>
      <w:r w:rsidRPr="008D4C1F">
        <w:rPr>
          <w:rFonts w:ascii="Times New Roman" w:eastAsia="Times New Roman" w:hAnsi="Times New Roman" w:cs="Times New Roman"/>
          <w:b/>
          <w:bCs/>
          <w:color w:val="000000" w:themeColor="text1"/>
          <w:lang w:val="lt-LT"/>
        </w:rPr>
        <w:t>ORACLE PROGRAMINĖS ĮRANGOS VIEŠOJO PIRKIMO TECHNINĖ SPECIFIKACIJA</w:t>
      </w:r>
    </w:p>
    <w:p w14:paraId="109B086D" w14:textId="0DBAA5A1"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Lietuvos Respublikos užsienio reikalų ministerija (toliau – Perkančioji organizacija), </w:t>
      </w:r>
      <w:r w:rsidR="3C1505F0" w:rsidRPr="008D4C1F">
        <w:rPr>
          <w:rFonts w:ascii="Times New Roman" w:eastAsia="Times New Roman" w:hAnsi="Times New Roman" w:cs="Times New Roman"/>
          <w:color w:val="000000" w:themeColor="text1"/>
          <w:lang w:val="lt-LT"/>
        </w:rPr>
        <w:t>numato įsi</w:t>
      </w:r>
      <w:r w:rsidR="6A0F4960" w:rsidRPr="008D4C1F">
        <w:rPr>
          <w:rFonts w:ascii="Times New Roman" w:eastAsia="Times New Roman" w:hAnsi="Times New Roman" w:cs="Times New Roman"/>
          <w:color w:val="000000" w:themeColor="text1"/>
          <w:lang w:val="lt-LT"/>
        </w:rPr>
        <w:t xml:space="preserve">gyti Oracle Database Standard Edition programinę įrangą ir jos palaikymą 3 metams. </w:t>
      </w:r>
    </w:p>
    <w:p w14:paraId="16C5C26E" w14:textId="3F5EC5AD" w:rsidR="2FDC7663" w:rsidRPr="008D4C1F" w:rsidRDefault="14497F09"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Programinė įranga įsigyja vystomai Supaprastinto tranzito dokumentų informacinei sistemai.</w:t>
      </w:r>
    </w:p>
    <w:p w14:paraId="7D9FD6FA" w14:textId="77777777" w:rsidR="00EF2299" w:rsidRPr="008D4C1F" w:rsidRDefault="14497F09" w:rsidP="00EF2299">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Šiuo metu Perkančiosios organizacijos naudojamos Oracle programinės įrangos licencijų numeriai: CSI Nr. 10585381, 10589713.</w:t>
      </w:r>
    </w:p>
    <w:p w14:paraId="591D38B4" w14:textId="77A4856E" w:rsidR="00EF2299" w:rsidRPr="008D4C1F" w:rsidRDefault="00EF2299" w:rsidP="00EF2299">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Tiekėjas turi būti oficialus siūlomos programinės įrangos gamintojo partneris, turintis teisę teikti paslaugas viešojo sektoriaus subjektui, ir su pasiūlymu pateikti tai įrodančius dokumentus.</w:t>
      </w:r>
    </w:p>
    <w:p w14:paraId="7D6AE03D" w14:textId="484B8F8A"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Tiekėjas </w:t>
      </w:r>
      <w:r w:rsidR="08965D93" w:rsidRPr="008D4C1F">
        <w:rPr>
          <w:rFonts w:ascii="Times New Roman" w:eastAsia="Times New Roman" w:hAnsi="Times New Roman" w:cs="Times New Roman"/>
          <w:color w:val="000000" w:themeColor="text1"/>
          <w:lang w:val="lt-LT"/>
        </w:rPr>
        <w:t xml:space="preserve">Programinę įrangą </w:t>
      </w:r>
      <w:r w:rsidRPr="008D4C1F">
        <w:rPr>
          <w:rFonts w:ascii="Times New Roman" w:eastAsia="Times New Roman" w:hAnsi="Times New Roman" w:cs="Times New Roman"/>
          <w:color w:val="000000" w:themeColor="text1"/>
          <w:lang w:val="lt-LT"/>
        </w:rPr>
        <w:t>įsipareigoja pateikti</w:t>
      </w:r>
      <w:r w:rsidR="259758F2" w:rsidRPr="008D4C1F">
        <w:rPr>
          <w:rFonts w:ascii="Times New Roman" w:eastAsia="Times New Roman" w:hAnsi="Times New Roman" w:cs="Times New Roman"/>
          <w:color w:val="000000" w:themeColor="text1"/>
          <w:lang w:val="lt-LT"/>
        </w:rPr>
        <w:t xml:space="preserve"> (atžymėti gamintojo Interneto portale perkančiosios organizacijos paskyroje)</w:t>
      </w:r>
      <w:r w:rsidRPr="008D4C1F">
        <w:rPr>
          <w:rFonts w:ascii="Times New Roman" w:eastAsia="Times New Roman" w:hAnsi="Times New Roman" w:cs="Times New Roman"/>
          <w:color w:val="000000" w:themeColor="text1"/>
          <w:lang w:val="lt-LT"/>
        </w:rPr>
        <w:t xml:space="preserve"> ne vėliau kaip per 15 dienų nuo Sutarties įsigaliojimo dienos. </w:t>
      </w:r>
      <w:r w:rsidR="1CB24CF1" w:rsidRPr="008D4C1F">
        <w:rPr>
          <w:rFonts w:ascii="Times New Roman" w:eastAsia="Times New Roman" w:hAnsi="Times New Roman" w:cs="Times New Roman"/>
          <w:color w:val="000000" w:themeColor="text1"/>
          <w:lang w:val="lt-LT"/>
        </w:rPr>
        <w:t>P</w:t>
      </w:r>
      <w:r w:rsidRPr="008D4C1F">
        <w:rPr>
          <w:rFonts w:ascii="Times New Roman" w:eastAsia="Times New Roman" w:hAnsi="Times New Roman" w:cs="Times New Roman"/>
          <w:color w:val="000000" w:themeColor="text1"/>
          <w:lang w:val="lt-LT"/>
        </w:rPr>
        <w:t>rograminė įranga registruojama programinės įrangos gamintojo portale Perkančiosios organizacijos paskyroje, Perkanči</w:t>
      </w:r>
      <w:r w:rsidR="1D1D3C9D" w:rsidRPr="008D4C1F">
        <w:rPr>
          <w:rFonts w:ascii="Times New Roman" w:eastAsia="Times New Roman" w:hAnsi="Times New Roman" w:cs="Times New Roman"/>
          <w:color w:val="000000" w:themeColor="text1"/>
          <w:lang w:val="lt-LT"/>
        </w:rPr>
        <w:t xml:space="preserve">os </w:t>
      </w:r>
      <w:r w:rsidRPr="008D4C1F">
        <w:rPr>
          <w:rFonts w:ascii="Times New Roman" w:eastAsia="Times New Roman" w:hAnsi="Times New Roman" w:cs="Times New Roman"/>
          <w:color w:val="000000" w:themeColor="text1"/>
          <w:lang w:val="lt-LT"/>
        </w:rPr>
        <w:t>organizacij</w:t>
      </w:r>
      <w:r w:rsidR="5F720FEE" w:rsidRPr="008D4C1F">
        <w:rPr>
          <w:rFonts w:ascii="Times New Roman" w:eastAsia="Times New Roman" w:hAnsi="Times New Roman" w:cs="Times New Roman"/>
          <w:color w:val="000000" w:themeColor="text1"/>
          <w:lang w:val="lt-LT"/>
        </w:rPr>
        <w:t>os</w:t>
      </w:r>
      <w:r w:rsidRPr="008D4C1F">
        <w:rPr>
          <w:rFonts w:ascii="Times New Roman" w:eastAsia="Times New Roman" w:hAnsi="Times New Roman" w:cs="Times New Roman"/>
          <w:color w:val="000000" w:themeColor="text1"/>
          <w:lang w:val="lt-LT"/>
        </w:rPr>
        <w:t xml:space="preserve"> pateik</w:t>
      </w:r>
      <w:r w:rsidR="25B4A2B5" w:rsidRPr="008D4C1F">
        <w:rPr>
          <w:rFonts w:ascii="Times New Roman" w:eastAsia="Times New Roman" w:hAnsi="Times New Roman" w:cs="Times New Roman"/>
          <w:color w:val="000000" w:themeColor="text1"/>
          <w:lang w:val="lt-LT"/>
        </w:rPr>
        <w:t>tu</w:t>
      </w:r>
      <w:r w:rsidRPr="008D4C1F">
        <w:rPr>
          <w:rFonts w:ascii="Times New Roman" w:eastAsia="Times New Roman" w:hAnsi="Times New Roman" w:cs="Times New Roman"/>
          <w:color w:val="000000" w:themeColor="text1"/>
          <w:lang w:val="lt-LT"/>
        </w:rPr>
        <w:t xml:space="preserve"> el. pašto adres</w:t>
      </w:r>
      <w:r w:rsidR="77443FB3" w:rsidRPr="008D4C1F">
        <w:rPr>
          <w:rFonts w:ascii="Times New Roman" w:eastAsia="Times New Roman" w:hAnsi="Times New Roman" w:cs="Times New Roman"/>
          <w:color w:val="000000" w:themeColor="text1"/>
          <w:lang w:val="lt-LT"/>
        </w:rPr>
        <w:t>u</w:t>
      </w:r>
      <w:r w:rsidRPr="008D4C1F">
        <w:rPr>
          <w:rFonts w:ascii="Times New Roman" w:eastAsia="Times New Roman" w:hAnsi="Times New Roman" w:cs="Times New Roman"/>
          <w:color w:val="000000" w:themeColor="text1"/>
          <w:lang w:val="lt-LT"/>
        </w:rPr>
        <w:t>.</w:t>
      </w:r>
    </w:p>
    <w:p w14:paraId="7526AF83" w14:textId="09966562" w:rsidR="2FDC7663" w:rsidRPr="008D4C1F" w:rsidRDefault="2490F31F"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lang w:val="lt-LT"/>
        </w:rPr>
      </w:pPr>
      <w:r w:rsidRPr="008D4C1F">
        <w:rPr>
          <w:rFonts w:ascii="Times New Roman" w:eastAsia="Times New Roman" w:hAnsi="Times New Roman" w:cs="Times New Roman"/>
          <w:color w:val="000000" w:themeColor="text1"/>
          <w:lang w:val="lt-LT"/>
        </w:rPr>
        <w:t xml:space="preserve">Perkančiosios organizacijos turimos DBVS techninės priežiūros paslaugos turi būti teikiamos pagal gamintojo nustatytas taisykles, kurios patalpintos interneto svetainėje </w:t>
      </w:r>
      <w:hyperlink r:id="rId8">
        <w:r w:rsidRPr="008D4C1F">
          <w:rPr>
            <w:rStyle w:val="Hyperlink"/>
            <w:rFonts w:ascii="Times New Roman" w:eastAsia="Times New Roman" w:hAnsi="Times New Roman" w:cs="Times New Roman"/>
            <w:color w:val="0000FF"/>
            <w:lang w:val="lt-LT"/>
          </w:rPr>
          <w:t>http://www.oracle.com/contracts</w:t>
        </w:r>
      </w:hyperlink>
      <w:r w:rsidRPr="008D4C1F">
        <w:rPr>
          <w:rFonts w:ascii="Times New Roman" w:eastAsia="Times New Roman" w:hAnsi="Times New Roman" w:cs="Times New Roman"/>
          <w:lang w:val="lt-LT"/>
        </w:rPr>
        <w:t>.</w:t>
      </w:r>
    </w:p>
    <w:p w14:paraId="70023220" w14:textId="4C5BCD45" w:rsidR="2FDC7663" w:rsidRPr="008D4C1F" w:rsidRDefault="2490F31F"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Perkamų Prekių palaikymo galiojimo metu turi būti:</w:t>
      </w:r>
    </w:p>
    <w:p w14:paraId="19AA8EB0" w14:textId="1F287464"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1.6.1. suteikiama Perkančiajai organizacijai galimybė naudotis naujausiomis siūlomos programinės įrangos versijomis be papildomo mokesčio;</w:t>
      </w:r>
    </w:p>
    <w:p w14:paraId="6DF9D23C" w14:textId="728B954A" w:rsidR="2FDC7663" w:rsidRPr="008D4C1F" w:rsidRDefault="2490F31F" w:rsidP="4AF8BACB">
      <w:pPr>
        <w:spacing w:after="0" w:line="276" w:lineRule="auto"/>
        <w:ind w:left="720"/>
        <w:jc w:val="both"/>
        <w:rPr>
          <w:rFonts w:ascii="Times New Roman" w:eastAsia="Times New Roman" w:hAnsi="Times New Roman" w:cs="Times New Roman"/>
          <w:i/>
          <w:iCs/>
          <w:lang w:val="lt-LT"/>
        </w:rPr>
      </w:pPr>
      <w:r w:rsidRPr="008D4C1F">
        <w:rPr>
          <w:rFonts w:ascii="Times New Roman" w:eastAsia="Times New Roman" w:hAnsi="Times New Roman" w:cs="Times New Roman"/>
          <w:lang w:val="lt-LT"/>
        </w:rPr>
        <w:t xml:space="preserve">1.6.2. užtikrinama teisė į programinės įrangos klaidų taisymus </w:t>
      </w:r>
      <w:r w:rsidRPr="008D4C1F">
        <w:rPr>
          <w:rFonts w:ascii="Times New Roman" w:eastAsia="Times New Roman" w:hAnsi="Times New Roman" w:cs="Times New Roman"/>
          <w:i/>
          <w:iCs/>
          <w:lang w:val="lt-LT"/>
        </w:rPr>
        <w:t>(angl. Bug-fix);</w:t>
      </w:r>
    </w:p>
    <w:p w14:paraId="16788879" w14:textId="213C5A80"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1.6.3. užtikrinamas Oracle programinės įrangos naujų versijų ir dokumentacijos atsisiuntimas iš programinės įrangos gamintojo internetinio tinklapio be papildomo mokesčio;</w:t>
      </w:r>
    </w:p>
    <w:p w14:paraId="6738C1CF" w14:textId="2289810B"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1.6.4. suteikiama galimybė naudotis programinės įrangos gamintojo internetiniu portalu METALINK arba lygiaverčiu;</w:t>
      </w:r>
    </w:p>
    <w:p w14:paraId="3F1E7F2F" w14:textId="2B92B36C"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1.6.5. užtikrinamas informacijos apie naujausią programinę įrangą gavimas;</w:t>
      </w:r>
    </w:p>
    <w:p w14:paraId="63B9D6C5" w14:textId="11454432"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 xml:space="preserve">1.6.6. teikiamas programinės įrangos palaikymas pagal gamintojo standartines palaikymo sąlygas </w:t>
      </w:r>
      <w:r w:rsidRPr="008D4C1F">
        <w:rPr>
          <w:rFonts w:ascii="Times New Roman" w:eastAsia="Times New Roman" w:hAnsi="Times New Roman" w:cs="Times New Roman"/>
          <w:i/>
          <w:iCs/>
          <w:lang w:val="lt-LT"/>
        </w:rPr>
        <w:t>(angl. „Oracle Technical Support Policies”),</w:t>
      </w:r>
      <w:r w:rsidRPr="008D4C1F">
        <w:rPr>
          <w:rFonts w:ascii="Times New Roman" w:eastAsia="Times New Roman" w:hAnsi="Times New Roman" w:cs="Times New Roman"/>
          <w:lang w:val="lt-LT"/>
        </w:rPr>
        <w:t xml:space="preserve"> kurios pateiktos interneto puslapyje adresu </w:t>
      </w:r>
      <w:hyperlink r:id="rId9">
        <w:r w:rsidRPr="008D4C1F">
          <w:rPr>
            <w:rStyle w:val="Hyperlink"/>
            <w:rFonts w:ascii="Times New Roman" w:eastAsia="Times New Roman" w:hAnsi="Times New Roman" w:cs="Times New Roman"/>
            <w:lang w:val="lt-LT"/>
          </w:rPr>
          <w:t>http://www.oracle.com/us/support/policies/index.html</w:t>
        </w:r>
      </w:hyperlink>
      <w:r w:rsidRPr="008D4C1F">
        <w:rPr>
          <w:rFonts w:ascii="Times New Roman" w:eastAsia="Times New Roman" w:hAnsi="Times New Roman" w:cs="Times New Roman"/>
          <w:lang w:val="lt-LT"/>
        </w:rPr>
        <w:t>, skyriuje „Oracle programinės įrangos techninio palaikymo politika“(</w:t>
      </w:r>
      <w:r w:rsidRPr="008D4C1F">
        <w:rPr>
          <w:rFonts w:ascii="Times New Roman" w:eastAsia="Times New Roman" w:hAnsi="Times New Roman" w:cs="Times New Roman"/>
          <w:i/>
          <w:iCs/>
          <w:lang w:val="lt-LT"/>
        </w:rPr>
        <w:t xml:space="preserve">angl. Oracle Software Technical Support Policies) </w:t>
      </w:r>
      <w:r w:rsidRPr="008D4C1F">
        <w:rPr>
          <w:rFonts w:ascii="Times New Roman" w:eastAsia="Times New Roman" w:hAnsi="Times New Roman" w:cs="Times New Roman"/>
          <w:lang w:val="lt-LT"/>
        </w:rPr>
        <w:t>ir/ar kitur gamintojo interneto puslapyje.</w:t>
      </w:r>
    </w:p>
    <w:p w14:paraId="6A7EF9E6" w14:textId="27D837D1" w:rsidR="2FDC7663" w:rsidRPr="008D4C1F" w:rsidRDefault="2490F31F" w:rsidP="4AF8BACB">
      <w:pPr>
        <w:spacing w:after="0" w:line="276" w:lineRule="auto"/>
        <w:ind w:left="720"/>
        <w:jc w:val="both"/>
        <w:rPr>
          <w:rFonts w:ascii="Times New Roman" w:eastAsia="Times New Roman" w:hAnsi="Times New Roman" w:cs="Times New Roman"/>
          <w:lang w:val="lt-LT"/>
        </w:rPr>
      </w:pPr>
      <w:r w:rsidRPr="008D4C1F">
        <w:rPr>
          <w:rFonts w:ascii="Times New Roman" w:eastAsia="Times New Roman" w:hAnsi="Times New Roman" w:cs="Times New Roman"/>
          <w:lang w:val="lt-LT"/>
        </w:rPr>
        <w:t xml:space="preserve">1.6.7. suteikiama galimybė be papildomų mokesčių tiesiogiai kreiptis į programinės įrangos gamintoją dėl teikiamo palaikymo kaip nurodyta interneto puslapyje adresu </w:t>
      </w:r>
      <w:hyperlink r:id="rId10">
        <w:r w:rsidRPr="008D4C1F">
          <w:rPr>
            <w:rStyle w:val="Hyperlink"/>
            <w:rFonts w:ascii="Times New Roman" w:eastAsia="Times New Roman" w:hAnsi="Times New Roman" w:cs="Times New Roman"/>
            <w:color w:val="0000FF"/>
            <w:lang w:val="lt-LT"/>
          </w:rPr>
          <w:t>https://www.oracle.com/support/contact.html</w:t>
        </w:r>
      </w:hyperlink>
      <w:r w:rsidRPr="008D4C1F">
        <w:rPr>
          <w:rFonts w:ascii="Times New Roman" w:eastAsia="Times New Roman" w:hAnsi="Times New Roman" w:cs="Times New Roman"/>
          <w:lang w:val="lt-LT"/>
        </w:rPr>
        <w:t>.</w:t>
      </w:r>
    </w:p>
    <w:p w14:paraId="4E51B984" w14:textId="416CDCD7"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Tiekėjas turi užtikrinti, kad siūloma programinė įranga ir jos palaikymo paslaugos atitiktų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4DC1904" w14:textId="7E546E86"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Vadovaujantis Viešųjų pirkimų įstatymo 37 straipsnio 9 dalies reikalavimais ir atsižvelgiant į tai, jog prekės BVPŽ kodas yra 48518000-2 (Emuliacijos programinės įrangos paketai), tiekėjas privalo užtikrinti, kad programinė įrangos gamintojas ar jį kontroliuojantis asmuo nėra registruoti (jeigu gamintojas ar jį kontroliuojantis asmuo yra fizinis asmuo – nuolat gyvenantis ar turintis pilietybę) Viešųjų pirkimų įstatymo 92 straipsnio 14 dalyje numatytame sąraše nurodytose valstybėse ar teritorijose. Tiekėjas savo pasiūlymo atitikčiai šiam reikalavimui patvirtinti kartu su pasiūlymu privalo pateikti Viešųjų pirkimų tarnybos nustatytos formos atitikties deklaraciją (x priedas „Nacionalinio saugumo reikalavimų atitikties deklaracijos forma“).</w:t>
      </w:r>
    </w:p>
    <w:p w14:paraId="20D2174D" w14:textId="2EB8A342" w:rsidR="2FDC7663" w:rsidRPr="008D4C1F" w:rsidRDefault="2FEFA284" w:rsidP="4AF8BACB">
      <w:pPr>
        <w:pStyle w:val="ListParagraph"/>
        <w:numPr>
          <w:ilvl w:val="1"/>
          <w:numId w:val="1"/>
        </w:numPr>
        <w:tabs>
          <w:tab w:val="left" w:pos="709"/>
        </w:tabs>
        <w:spacing w:after="0" w:line="240" w:lineRule="auto"/>
        <w:ind w:left="0" w:firstLine="142"/>
        <w:jc w:val="both"/>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lastRenderedPageBreak/>
        <w:t>Atsižvelgiant į tai, kad perkama programinė įranga, vadovaujantis Aplinkos apsaugos kriterijų taikymo, vykdant žaliuosius pirkimus, tvarkos aprašo,  patvirtinto Lietuvos Respublikos aplinkos ministro 2011 m. birželio 28 d. įsakymu Nr. D1-508, 4.4.3. punktu, pirkimas laikomas žaliuoju.</w:t>
      </w:r>
    </w:p>
    <w:p w14:paraId="5B569F86" w14:textId="5246BE6A" w:rsidR="2FDC7663" w:rsidRPr="008D4C1F" w:rsidRDefault="2FDC7663" w:rsidP="4AF8BACB">
      <w:pPr>
        <w:spacing w:after="120"/>
        <w:jc w:val="both"/>
        <w:rPr>
          <w:rFonts w:ascii="Times New Roman" w:eastAsia="Times New Roman" w:hAnsi="Times New Roman" w:cs="Times New Roman"/>
          <w:lang w:val="lt-LT"/>
        </w:rPr>
      </w:pPr>
    </w:p>
    <w:p w14:paraId="73E341A8" w14:textId="68AE6CFA" w:rsidR="2FDC7663" w:rsidRPr="008D4C1F" w:rsidRDefault="114D8BCF" w:rsidP="4AF8BACB">
      <w:pPr>
        <w:spacing w:after="120"/>
        <w:jc w:val="center"/>
        <w:rPr>
          <w:rFonts w:ascii="Times New Roman" w:eastAsia="Times New Roman" w:hAnsi="Times New Roman" w:cs="Times New Roman"/>
          <w:lang w:val="lt-LT"/>
        </w:rPr>
      </w:pPr>
      <w:r w:rsidRPr="008D4C1F">
        <w:rPr>
          <w:rFonts w:ascii="Times New Roman" w:eastAsia="Times New Roman" w:hAnsi="Times New Roman" w:cs="Times New Roman"/>
          <w:b/>
          <w:bCs/>
          <w:color w:val="000000" w:themeColor="text1"/>
          <w:lang w:val="lt-LT"/>
        </w:rPr>
        <w:t>2. Specialieji reikalavimai</w:t>
      </w:r>
    </w:p>
    <w:p w14:paraId="0625B781" w14:textId="03BCE7BC" w:rsidR="150EEB94" w:rsidRPr="008D4C1F" w:rsidRDefault="4C63B759" w:rsidP="2FDC7663">
      <w:pPr>
        <w:spacing w:after="120"/>
        <w:ind w:firstLine="720"/>
        <w:jc w:val="both"/>
        <w:rPr>
          <w:lang w:val="lt-LT"/>
        </w:rPr>
      </w:pPr>
      <w:r w:rsidRPr="008D4C1F">
        <w:rPr>
          <w:rFonts w:ascii="Times New Roman" w:eastAsia="Times New Roman" w:hAnsi="Times New Roman" w:cs="Times New Roman"/>
          <w:lang w:val="lt-LT"/>
        </w:rPr>
        <w:t>Programinės įrangos versijų pavadinimai ir kiekis:</w:t>
      </w:r>
    </w:p>
    <w:p w14:paraId="03E546AB" w14:textId="585C2B1C" w:rsidR="150EEB94" w:rsidRPr="008D4C1F" w:rsidRDefault="150EEB94" w:rsidP="2FDC7663">
      <w:pPr>
        <w:spacing w:after="120"/>
        <w:ind w:firstLine="720"/>
        <w:jc w:val="both"/>
        <w:rPr>
          <w:lang w:val="lt-LT"/>
        </w:rPr>
      </w:pPr>
      <w:r w:rsidRPr="008D4C1F">
        <w:rPr>
          <w:rFonts w:ascii="Times New Roman" w:eastAsia="Times New Roman" w:hAnsi="Times New Roman" w:cs="Times New Roman"/>
          <w:lang w:val="lt-LT"/>
        </w:rPr>
        <w:t xml:space="preserve"> </w:t>
      </w:r>
    </w:p>
    <w:tbl>
      <w:tblPr>
        <w:tblW w:w="10171" w:type="dxa"/>
        <w:jc w:val="center"/>
        <w:tblLayout w:type="fixed"/>
        <w:tblLook w:val="04A0" w:firstRow="1" w:lastRow="0" w:firstColumn="1" w:lastColumn="0" w:noHBand="0" w:noVBand="1"/>
      </w:tblPr>
      <w:tblGrid>
        <w:gridCol w:w="841"/>
        <w:gridCol w:w="4678"/>
        <w:gridCol w:w="2484"/>
        <w:gridCol w:w="2168"/>
      </w:tblGrid>
      <w:tr w:rsidR="00EF2299" w:rsidRPr="008D4C1F" w14:paraId="32D57CF0" w14:textId="77777777" w:rsidTr="00EF2299">
        <w:trPr>
          <w:trHeight w:val="300"/>
          <w:jc w:val="center"/>
        </w:trPr>
        <w:tc>
          <w:tcPr>
            <w:tcW w:w="841" w:type="dxa"/>
            <w:tcBorders>
              <w:top w:val="single" w:sz="8" w:space="0" w:color="000000" w:themeColor="text1"/>
              <w:left w:val="single" w:sz="8" w:space="0" w:color="000000" w:themeColor="text1"/>
              <w:bottom w:val="single" w:sz="8" w:space="0" w:color="000000" w:themeColor="text1"/>
              <w:right w:val="nil"/>
            </w:tcBorders>
            <w:vAlign w:val="center"/>
          </w:tcPr>
          <w:p w14:paraId="60C03F8F" w14:textId="01706677" w:rsidR="00EF2299" w:rsidRPr="008D4C1F" w:rsidRDefault="00EF2299" w:rsidP="2FDC7663">
            <w:pPr>
              <w:spacing w:after="0"/>
              <w:jc w:val="center"/>
              <w:rPr>
                <w:lang w:val="lt-LT"/>
              </w:rPr>
            </w:pPr>
            <w:r w:rsidRPr="008D4C1F">
              <w:rPr>
                <w:rFonts w:ascii="Times New Roman" w:eastAsia="Times New Roman" w:hAnsi="Times New Roman" w:cs="Times New Roman"/>
                <w:b/>
                <w:bCs/>
                <w:lang w:val="lt-LT"/>
              </w:rPr>
              <w:t>Eil. Nr.</w:t>
            </w:r>
          </w:p>
        </w:tc>
        <w:tc>
          <w:tcPr>
            <w:tcW w:w="4678" w:type="dxa"/>
            <w:tcBorders>
              <w:top w:val="single" w:sz="8" w:space="0" w:color="000000" w:themeColor="text1"/>
              <w:left w:val="single" w:sz="8" w:space="0" w:color="000000" w:themeColor="text1"/>
              <w:bottom w:val="single" w:sz="8" w:space="0" w:color="000000" w:themeColor="text1"/>
              <w:right w:val="nil"/>
            </w:tcBorders>
            <w:vAlign w:val="center"/>
          </w:tcPr>
          <w:p w14:paraId="1CC3CBC2" w14:textId="4F374641" w:rsidR="00EF2299" w:rsidRPr="008D4C1F" w:rsidRDefault="00EF2299" w:rsidP="4AF8BACB">
            <w:pPr>
              <w:spacing w:after="0"/>
              <w:jc w:val="center"/>
              <w:rPr>
                <w:rFonts w:ascii="Times New Roman" w:eastAsia="Times New Roman" w:hAnsi="Times New Roman" w:cs="Times New Roman"/>
                <w:b/>
                <w:bCs/>
                <w:lang w:val="lt-LT"/>
              </w:rPr>
            </w:pPr>
            <w:r w:rsidRPr="008D4C1F">
              <w:rPr>
                <w:rFonts w:ascii="Times New Roman" w:eastAsia="Times New Roman" w:hAnsi="Times New Roman" w:cs="Times New Roman"/>
                <w:b/>
                <w:bCs/>
                <w:lang w:val="lt-LT"/>
              </w:rPr>
              <w:t>Programinė įranga</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2A5ED" w14:textId="0C070EBF" w:rsidR="00EF2299" w:rsidRPr="008D4C1F" w:rsidRDefault="00EF2299" w:rsidP="4AF8BACB">
            <w:pPr>
              <w:spacing w:after="0"/>
              <w:jc w:val="center"/>
              <w:rPr>
                <w:rFonts w:ascii="Times New Roman" w:eastAsia="Times New Roman" w:hAnsi="Times New Roman" w:cs="Times New Roman"/>
                <w:b/>
                <w:bCs/>
                <w:lang w:val="lt-LT"/>
              </w:rPr>
            </w:pPr>
            <w:r w:rsidRPr="008D4C1F">
              <w:rPr>
                <w:rFonts w:ascii="Times New Roman" w:eastAsia="Times New Roman" w:hAnsi="Times New Roman" w:cs="Times New Roman"/>
                <w:b/>
                <w:bCs/>
                <w:lang w:val="lt-LT"/>
              </w:rPr>
              <w:t xml:space="preserve">Oracle CSI (Customer Support Identifier) numeriai </w:t>
            </w:r>
          </w:p>
        </w:tc>
        <w:tc>
          <w:tcPr>
            <w:tcW w:w="2168"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240BAAC4" w14:textId="1DA41266" w:rsidR="00EF2299" w:rsidRPr="008D4C1F" w:rsidRDefault="00EF2299" w:rsidP="4AF8BACB">
            <w:pPr>
              <w:spacing w:after="0"/>
              <w:jc w:val="center"/>
              <w:rPr>
                <w:lang w:val="lt-LT"/>
              </w:rPr>
            </w:pPr>
            <w:r w:rsidRPr="008D4C1F">
              <w:rPr>
                <w:rFonts w:ascii="Times New Roman" w:eastAsia="Times New Roman" w:hAnsi="Times New Roman" w:cs="Times New Roman"/>
                <w:b/>
                <w:bCs/>
                <w:lang w:val="lt-LT"/>
              </w:rPr>
              <w:t>CPU kiekis</w:t>
            </w:r>
          </w:p>
        </w:tc>
      </w:tr>
      <w:tr w:rsidR="00EF2299" w:rsidRPr="008D4C1F" w14:paraId="45690D6E" w14:textId="77777777" w:rsidTr="00EF2299">
        <w:trPr>
          <w:trHeight w:val="300"/>
          <w:jc w:val="center"/>
        </w:trPr>
        <w:tc>
          <w:tcPr>
            <w:tcW w:w="841" w:type="dxa"/>
            <w:tcBorders>
              <w:top w:val="single" w:sz="8" w:space="0" w:color="000000" w:themeColor="text1"/>
              <w:left w:val="single" w:sz="8" w:space="0" w:color="000000" w:themeColor="text1"/>
              <w:bottom w:val="single" w:sz="8" w:space="0" w:color="auto"/>
              <w:right w:val="nil"/>
            </w:tcBorders>
          </w:tcPr>
          <w:p w14:paraId="2C4C7ACB" w14:textId="28189D23" w:rsidR="00EF2299" w:rsidRPr="008D4C1F" w:rsidRDefault="00EF2299" w:rsidP="4AF8BACB">
            <w:pPr>
              <w:spacing w:after="0"/>
              <w:ind w:left="113" w:right="113"/>
              <w:jc w:val="center"/>
              <w:rPr>
                <w:rFonts w:ascii="Times New Roman" w:eastAsia="Times New Roman" w:hAnsi="Times New Roman" w:cs="Times New Roman"/>
                <w:lang w:val="lt-LT"/>
              </w:rPr>
            </w:pPr>
            <w:r w:rsidRPr="008D4C1F">
              <w:rPr>
                <w:rFonts w:ascii="Times New Roman" w:eastAsia="Times New Roman" w:hAnsi="Times New Roman" w:cs="Times New Roman"/>
                <w:lang w:val="lt-LT"/>
              </w:rPr>
              <w:t>1.</w:t>
            </w:r>
          </w:p>
        </w:tc>
        <w:tc>
          <w:tcPr>
            <w:tcW w:w="4678" w:type="dxa"/>
            <w:tcBorders>
              <w:top w:val="single" w:sz="8" w:space="0" w:color="000000" w:themeColor="text1"/>
              <w:left w:val="single" w:sz="8" w:space="0" w:color="000000" w:themeColor="text1"/>
              <w:bottom w:val="single" w:sz="8" w:space="0" w:color="auto"/>
              <w:right w:val="nil"/>
            </w:tcBorders>
          </w:tcPr>
          <w:p w14:paraId="608608AD" w14:textId="51EDD4EA" w:rsidR="00EF2299" w:rsidRPr="008D4C1F" w:rsidRDefault="00EF2299" w:rsidP="4AF8BACB">
            <w:pPr>
              <w:spacing w:after="0"/>
              <w:ind w:left="113" w:right="113"/>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 xml:space="preserve">Oracle Database Standard Edition Processor Perpetual </w:t>
            </w:r>
          </w:p>
        </w:tc>
        <w:tc>
          <w:tcPr>
            <w:tcW w:w="2484" w:type="dxa"/>
            <w:tcBorders>
              <w:top w:val="single" w:sz="8" w:space="0" w:color="000000" w:themeColor="text1"/>
              <w:left w:val="single" w:sz="8" w:space="0" w:color="000000" w:themeColor="text1"/>
              <w:bottom w:val="single" w:sz="8" w:space="0" w:color="auto"/>
              <w:right w:val="single" w:sz="8" w:space="0" w:color="000000" w:themeColor="text1"/>
            </w:tcBorders>
          </w:tcPr>
          <w:p w14:paraId="6F39E5D7" w14:textId="4A1B298E" w:rsidR="00EF2299" w:rsidRPr="008D4C1F" w:rsidRDefault="00EF2299" w:rsidP="4AF8BACB">
            <w:pPr>
              <w:spacing w:after="0"/>
              <w:ind w:left="113" w:right="113"/>
              <w:jc w:val="center"/>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lang w:val="lt-LT"/>
              </w:rPr>
              <w:t>10585381; 10589713.</w:t>
            </w:r>
          </w:p>
        </w:tc>
        <w:tc>
          <w:tcPr>
            <w:tcW w:w="2168" w:type="dxa"/>
            <w:tcBorders>
              <w:top w:val="single" w:sz="8" w:space="0" w:color="000000" w:themeColor="text1"/>
              <w:left w:val="single" w:sz="8" w:space="0" w:color="000000" w:themeColor="text1"/>
              <w:bottom w:val="single" w:sz="8" w:space="0" w:color="auto"/>
              <w:right w:val="single" w:sz="8" w:space="0" w:color="auto"/>
            </w:tcBorders>
          </w:tcPr>
          <w:p w14:paraId="13DADB81" w14:textId="75844AE3" w:rsidR="00EF2299" w:rsidRPr="008D4C1F" w:rsidRDefault="00EF2299" w:rsidP="4AF8BACB">
            <w:pPr>
              <w:spacing w:after="0"/>
              <w:ind w:left="113" w:right="113"/>
              <w:jc w:val="center"/>
              <w:rPr>
                <w:rFonts w:ascii="Times New Roman" w:eastAsia="Times New Roman" w:hAnsi="Times New Roman" w:cs="Times New Roman"/>
                <w:color w:val="000000" w:themeColor="text1"/>
                <w:lang w:val="lt-LT"/>
              </w:rPr>
            </w:pPr>
            <w:r w:rsidRPr="008D4C1F">
              <w:rPr>
                <w:rFonts w:ascii="Times New Roman" w:eastAsia="Times New Roman" w:hAnsi="Times New Roman" w:cs="Times New Roman"/>
                <w:color w:val="000000" w:themeColor="text1"/>
                <w:lang w:val="lt-LT"/>
              </w:rPr>
              <w:t>4</w:t>
            </w:r>
          </w:p>
        </w:tc>
      </w:tr>
    </w:tbl>
    <w:p w14:paraId="35940621" w14:textId="1113C1E8" w:rsidR="4AF8BACB" w:rsidRPr="008D4C1F" w:rsidRDefault="4AF8BACB">
      <w:pPr>
        <w:rPr>
          <w:lang w:val="lt-LT"/>
        </w:rPr>
      </w:pPr>
    </w:p>
    <w:p w14:paraId="5DC85C9D" w14:textId="7F28C648" w:rsidR="7924918F" w:rsidRPr="008D4C1F" w:rsidRDefault="7924918F" w:rsidP="0094A89E">
      <w:pPr>
        <w:spacing w:after="120"/>
        <w:ind w:firstLine="720"/>
        <w:jc w:val="center"/>
        <w:rPr>
          <w:rFonts w:ascii="Aptos" w:eastAsia="Aptos" w:hAnsi="Aptos" w:cs="Aptos"/>
          <w:sz w:val="22"/>
          <w:szCs w:val="22"/>
          <w:lang w:val="lt-LT"/>
        </w:rPr>
      </w:pPr>
    </w:p>
    <w:p w14:paraId="18CA9F54" w14:textId="547988AA" w:rsidR="2FDC7663" w:rsidRPr="008D4C1F" w:rsidRDefault="2FDC7663" w:rsidP="7924918F">
      <w:pPr>
        <w:spacing w:after="120"/>
        <w:jc w:val="both"/>
        <w:rPr>
          <w:rFonts w:ascii="Times New Roman" w:eastAsia="Times New Roman" w:hAnsi="Times New Roman" w:cs="Times New Roman"/>
          <w:lang w:val="lt-LT"/>
        </w:rPr>
      </w:pPr>
    </w:p>
    <w:sectPr w:rsidR="2FDC7663" w:rsidRPr="008D4C1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E930"/>
    <w:multiLevelType w:val="multilevel"/>
    <w:tmpl w:val="28107AC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02D786"/>
    <w:multiLevelType w:val="multilevel"/>
    <w:tmpl w:val="4878A8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F10909"/>
    <w:multiLevelType w:val="multilevel"/>
    <w:tmpl w:val="725CB1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140854">
    <w:abstractNumId w:val="2"/>
  </w:num>
  <w:num w:numId="2" w16cid:durableId="365299725">
    <w:abstractNumId w:val="1"/>
  </w:num>
  <w:num w:numId="3" w16cid:durableId="78777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0CDFD"/>
    <w:rsid w:val="000B12CA"/>
    <w:rsid w:val="002B39F6"/>
    <w:rsid w:val="00324212"/>
    <w:rsid w:val="0060747B"/>
    <w:rsid w:val="007A0802"/>
    <w:rsid w:val="007B3C3B"/>
    <w:rsid w:val="008B2178"/>
    <w:rsid w:val="008D4C1F"/>
    <w:rsid w:val="0094A89E"/>
    <w:rsid w:val="009744DE"/>
    <w:rsid w:val="00A76281"/>
    <w:rsid w:val="00A865FC"/>
    <w:rsid w:val="00DB668D"/>
    <w:rsid w:val="00EF2299"/>
    <w:rsid w:val="04E520FC"/>
    <w:rsid w:val="08965D93"/>
    <w:rsid w:val="09FC70BC"/>
    <w:rsid w:val="0B6B91F3"/>
    <w:rsid w:val="0C3BB158"/>
    <w:rsid w:val="0D80CDFD"/>
    <w:rsid w:val="109200EE"/>
    <w:rsid w:val="114D8BCF"/>
    <w:rsid w:val="1351079A"/>
    <w:rsid w:val="14497F09"/>
    <w:rsid w:val="150EEB94"/>
    <w:rsid w:val="159CA314"/>
    <w:rsid w:val="163D10ED"/>
    <w:rsid w:val="199498F1"/>
    <w:rsid w:val="19C137A9"/>
    <w:rsid w:val="1CB24CF1"/>
    <w:rsid w:val="1D1D3C9D"/>
    <w:rsid w:val="1FF3A982"/>
    <w:rsid w:val="22FC1D69"/>
    <w:rsid w:val="23E61230"/>
    <w:rsid w:val="2490F31F"/>
    <w:rsid w:val="259758F2"/>
    <w:rsid w:val="259A1335"/>
    <w:rsid w:val="25B4A2B5"/>
    <w:rsid w:val="2B4097D4"/>
    <w:rsid w:val="2BF8D790"/>
    <w:rsid w:val="2FDC7663"/>
    <w:rsid w:val="2FEFA284"/>
    <w:rsid w:val="3213A4B3"/>
    <w:rsid w:val="3293F09E"/>
    <w:rsid w:val="33101000"/>
    <w:rsid w:val="35146AD7"/>
    <w:rsid w:val="356C5333"/>
    <w:rsid w:val="36DE1D39"/>
    <w:rsid w:val="39A97F69"/>
    <w:rsid w:val="3C1505F0"/>
    <w:rsid w:val="3C2F9854"/>
    <w:rsid w:val="3C5BBB1B"/>
    <w:rsid w:val="3CBA2E9B"/>
    <w:rsid w:val="3D1D967F"/>
    <w:rsid w:val="3F5278D0"/>
    <w:rsid w:val="401F637F"/>
    <w:rsid w:val="40592F5D"/>
    <w:rsid w:val="43999188"/>
    <w:rsid w:val="439B6A69"/>
    <w:rsid w:val="43D8CF31"/>
    <w:rsid w:val="491C178E"/>
    <w:rsid w:val="4A05A994"/>
    <w:rsid w:val="4A114524"/>
    <w:rsid w:val="4A496C6F"/>
    <w:rsid w:val="4AA0874E"/>
    <w:rsid w:val="4AF8BACB"/>
    <w:rsid w:val="4C3D2554"/>
    <w:rsid w:val="4C63B759"/>
    <w:rsid w:val="4FF57FF9"/>
    <w:rsid w:val="53200B94"/>
    <w:rsid w:val="5A564511"/>
    <w:rsid w:val="5C874715"/>
    <w:rsid w:val="5E64C83F"/>
    <w:rsid w:val="5F720FEE"/>
    <w:rsid w:val="62C4647B"/>
    <w:rsid w:val="63E4EE6C"/>
    <w:rsid w:val="6837D583"/>
    <w:rsid w:val="68C1F56E"/>
    <w:rsid w:val="6A0F4960"/>
    <w:rsid w:val="6BC89E23"/>
    <w:rsid w:val="6FC6F2DC"/>
    <w:rsid w:val="6FF3933A"/>
    <w:rsid w:val="70E64277"/>
    <w:rsid w:val="71F3DF23"/>
    <w:rsid w:val="753B501A"/>
    <w:rsid w:val="759AE1A8"/>
    <w:rsid w:val="77443FB3"/>
    <w:rsid w:val="78A0CF11"/>
    <w:rsid w:val="7924918F"/>
    <w:rsid w:val="7A4226A4"/>
    <w:rsid w:val="7AD3C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CDFD"/>
  <w15:chartTrackingRefBased/>
  <w15:docId w15:val="{E5F0D339-57FF-4B56-972A-23D2B440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FDC7663"/>
    <w:rPr>
      <w:color w:val="467886"/>
      <w:u w:val="single"/>
    </w:rPr>
  </w:style>
  <w:style w:type="paragraph" w:styleId="ListParagraph">
    <w:name w:val="List Paragraph"/>
    <w:basedOn w:val="Normal"/>
    <w:uiPriority w:val="34"/>
    <w:qFormat/>
    <w:rsid w:val="2FDC7663"/>
    <w:pPr>
      <w:ind w:left="720"/>
      <w:contextualSpacing/>
    </w:pPr>
  </w:style>
  <w:style w:type="paragraph" w:styleId="NoSpacing">
    <w:name w:val="No Spacing"/>
    <w:uiPriority w:val="1"/>
    <w:qFormat/>
    <w:rsid w:val="2FDC7663"/>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contr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racle.com/support/contact.html" TargetMode="External"/><Relationship Id="rId4" Type="http://schemas.openxmlformats.org/officeDocument/2006/relationships/numbering" Target="numbering.xml"/><Relationship Id="rId9" Type="http://schemas.openxmlformats.org/officeDocument/2006/relationships/hyperlink" Target="http://www.oracle.com/us/support/polic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AD1F7-ADE4-40C4-B13F-95C48F8175A5}">
  <ds:schemaRefs>
    <ds:schemaRef ds:uri="http://schemas.microsoft.com/sharepoint/v3/contenttype/forms"/>
  </ds:schemaRefs>
</ds:datastoreItem>
</file>

<file path=customXml/itemProps2.xml><?xml version="1.0" encoding="utf-8"?>
<ds:datastoreItem xmlns:ds="http://schemas.openxmlformats.org/officeDocument/2006/customXml" ds:itemID="{C7D01BF5-0D71-49D0-B1D1-769A8D8B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0189-17C5-4B2D-9F33-4754DD096EBD}">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4</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Živilė Matačiūnienė</cp:lastModifiedBy>
  <cp:revision>2</cp:revision>
  <dcterms:created xsi:type="dcterms:W3CDTF">2025-10-28T13:52:00Z</dcterms:created>
  <dcterms:modified xsi:type="dcterms:W3CDTF">2025-10-28T13:52:00Z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