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3E834877" w:rsidR="0059102C" w:rsidRPr="005F0CD9" w:rsidRDefault="00335FE1" w:rsidP="00DB173C">
      <w:pPr>
        <w:jc w:val="right"/>
        <w:rPr>
          <w:rFonts w:ascii="Arial" w:hAnsi="Arial" w:cs="Arial"/>
          <w:sz w:val="18"/>
          <w:szCs w:val="18"/>
        </w:rPr>
      </w:pPr>
      <w:r w:rsidRPr="00335FE1">
        <w:rPr>
          <w:rFonts w:ascii="Arial" w:hAnsi="Arial" w:cs="Arial"/>
          <w:sz w:val="18"/>
          <w:szCs w:val="18"/>
        </w:rPr>
        <w:t xml:space="preserve">Skelbiamos apklausos sąlygų </w:t>
      </w:r>
      <w:r w:rsidR="00C42E61">
        <w:rPr>
          <w:rFonts w:ascii="Arial" w:hAnsi="Arial" w:cs="Arial"/>
          <w:sz w:val="18"/>
          <w:szCs w:val="18"/>
        </w:rPr>
        <w:t>8</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CD1378F" w14:textId="77777777" w:rsidR="007D3158" w:rsidRPr="00623DC3" w:rsidRDefault="007D3158" w:rsidP="007D3158">
            <w:pPr>
              <w:tabs>
                <w:tab w:val="left" w:pos="851"/>
              </w:tabs>
              <w:jc w:val="both"/>
              <w:rPr>
                <w:rFonts w:ascii="Arial" w:hAnsi="Arial" w:cs="Arial"/>
                <w:bCs/>
                <w:iCs/>
                <w:sz w:val="18"/>
                <w:szCs w:val="18"/>
              </w:rPr>
            </w:pPr>
            <w:r w:rsidRPr="00623DC3">
              <w:rPr>
                <w:rFonts w:ascii="Arial" w:hAnsi="Arial" w:cs="Arial"/>
                <w:bCs/>
                <w:iCs/>
                <w:sz w:val="18"/>
                <w:szCs w:val="18"/>
              </w:rPr>
              <w:t>bent 1 (vienas) specialistas, kuriam suteikta teisė eiti suvirinimo darbų priežiūros meistro pareigas − vykdyti ir prižiūrėti suvirinimo darbus:</w:t>
            </w:r>
          </w:p>
          <w:p w14:paraId="714D2A0F" w14:textId="77777777" w:rsidR="007D3158" w:rsidRPr="00623DC3" w:rsidRDefault="007D3158" w:rsidP="00623DC3">
            <w:pPr>
              <w:tabs>
                <w:tab w:val="left" w:pos="851"/>
              </w:tabs>
              <w:jc w:val="both"/>
              <w:rPr>
                <w:rFonts w:ascii="Arial" w:hAnsi="Arial" w:cs="Arial"/>
                <w:bCs/>
                <w:iCs/>
                <w:sz w:val="18"/>
                <w:szCs w:val="18"/>
                <w:u w:val="single"/>
              </w:rPr>
            </w:pPr>
            <w:r w:rsidRPr="00623DC3">
              <w:rPr>
                <w:rFonts w:ascii="Arial" w:hAnsi="Arial" w:cs="Arial"/>
                <w:bCs/>
                <w:iCs/>
                <w:sz w:val="18"/>
                <w:szCs w:val="18"/>
                <w:u w:val="single"/>
              </w:rPr>
              <w:t>suvirinimo objektai:</w:t>
            </w:r>
          </w:p>
          <w:p w14:paraId="38537BBC" w14:textId="77777777" w:rsidR="007D3158" w:rsidRPr="00623DC3" w:rsidRDefault="007D3158" w:rsidP="00623DC3">
            <w:pPr>
              <w:tabs>
                <w:tab w:val="left" w:pos="851"/>
              </w:tabs>
              <w:jc w:val="both"/>
              <w:rPr>
                <w:rFonts w:ascii="Arial" w:hAnsi="Arial" w:cs="Arial"/>
                <w:bCs/>
                <w:iCs/>
                <w:sz w:val="18"/>
                <w:szCs w:val="18"/>
              </w:rPr>
            </w:pPr>
            <w:r w:rsidRPr="00623DC3">
              <w:rPr>
                <w:rFonts w:ascii="Arial" w:hAnsi="Arial" w:cs="Arial"/>
                <w:bCs/>
                <w:iCs/>
                <w:sz w:val="18"/>
                <w:szCs w:val="18"/>
              </w:rPr>
              <w:t>▪ technologiniai vamzdynai;</w:t>
            </w:r>
          </w:p>
          <w:p w14:paraId="774D827E" w14:textId="2FADFC6C" w:rsidR="002D61E8" w:rsidRPr="005F0CD9" w:rsidRDefault="002D61E8" w:rsidP="002D61E8">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0768989" w:rsidR="002D61E8" w:rsidRPr="005F0CD9" w:rsidRDefault="00623DC3" w:rsidP="002D61E8">
            <w:pPr>
              <w:tabs>
                <w:tab w:val="left" w:pos="851"/>
              </w:tabs>
              <w:jc w:val="both"/>
              <w:rPr>
                <w:rFonts w:ascii="Arial" w:hAnsi="Arial" w:cs="Arial"/>
                <w:bCs/>
                <w:iCs/>
                <w:sz w:val="18"/>
                <w:szCs w:val="18"/>
              </w:rPr>
            </w:pPr>
            <w:r w:rsidRPr="00623DC3">
              <w:rPr>
                <w:rFonts w:ascii="Arial" w:hAnsi="Arial" w:cs="Arial"/>
                <w:bCs/>
                <w:iCs/>
                <w:sz w:val="18"/>
                <w:szCs w:val="18"/>
              </w:rPr>
              <w:t>bent 1 (vienas) specialistas, turintis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FC4684" w:rsidRPr="00FC4684"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60B28962" w14:textId="77777777" w:rsidR="001F717A"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Tiekėjas turi bent 1 (vieną) kvalifikuotą specialistą, kuriam suteiktas teisė eiti ypatingo (ypatingojo) statinio specialiųjų statybos darbų vadovo pareigas:</w:t>
            </w:r>
          </w:p>
          <w:p w14:paraId="6B4C2603" w14:textId="77777777" w:rsidR="001F717A" w:rsidRPr="001F717A" w:rsidRDefault="001F717A" w:rsidP="001F717A">
            <w:pPr>
              <w:tabs>
                <w:tab w:val="left" w:pos="851"/>
              </w:tabs>
              <w:jc w:val="both"/>
              <w:rPr>
                <w:rFonts w:ascii="Arial" w:hAnsi="Arial" w:cs="Arial"/>
                <w:sz w:val="18"/>
                <w:szCs w:val="18"/>
                <w:shd w:val="clear" w:color="auto" w:fill="FFFFFF"/>
              </w:rPr>
            </w:pPr>
          </w:p>
          <w:p w14:paraId="3C4D6EA9" w14:textId="50C08CF8" w:rsidR="001F717A"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statiniai: pastatai; statinių grupė: negyvenamieji pastatai; Negyvenamųjų pastatų pogrupis: gamybos, pramonės paskirties pastatai (energetikos pastatai).</w:t>
            </w:r>
          </w:p>
          <w:p w14:paraId="3B8C1288" w14:textId="77777777" w:rsidR="001F717A" w:rsidRPr="001F717A" w:rsidRDefault="001F717A" w:rsidP="001F717A">
            <w:pPr>
              <w:tabs>
                <w:tab w:val="left" w:pos="851"/>
              </w:tabs>
              <w:jc w:val="both"/>
              <w:rPr>
                <w:rFonts w:ascii="Arial" w:hAnsi="Arial" w:cs="Arial"/>
                <w:sz w:val="18"/>
                <w:szCs w:val="18"/>
                <w:shd w:val="clear" w:color="auto" w:fill="FFFFFF"/>
              </w:rPr>
            </w:pPr>
          </w:p>
          <w:p w14:paraId="238837F2" w14:textId="019B1F1E" w:rsidR="00FC4684" w:rsidRPr="00FC4684" w:rsidRDefault="001F717A" w:rsidP="001F717A">
            <w:pPr>
              <w:tabs>
                <w:tab w:val="left" w:pos="851"/>
              </w:tabs>
              <w:jc w:val="both"/>
              <w:rPr>
                <w:rFonts w:ascii="Arial" w:hAnsi="Arial" w:cs="Arial"/>
                <w:sz w:val="18"/>
                <w:szCs w:val="18"/>
                <w:shd w:val="clear" w:color="auto" w:fill="FFFFFF"/>
              </w:rPr>
            </w:pPr>
            <w:r w:rsidRPr="001F717A">
              <w:rPr>
                <w:rFonts w:ascii="Arial" w:hAnsi="Arial" w:cs="Arial"/>
                <w:sz w:val="18"/>
                <w:szCs w:val="18"/>
                <w:shd w:val="clear" w:color="auto" w:fill="FFFFFF"/>
              </w:rPr>
              <w:t>darbo sritims: šilumos gamybos įrenginių montavimo.</w:t>
            </w:r>
          </w:p>
        </w:tc>
        <w:tc>
          <w:tcPr>
            <w:tcW w:w="992" w:type="dxa"/>
            <w:tcBorders>
              <w:left w:val="single" w:sz="4" w:space="0" w:color="auto"/>
              <w:right w:val="single" w:sz="4" w:space="0" w:color="auto"/>
            </w:tcBorders>
          </w:tcPr>
          <w:p w14:paraId="3BD6F563" w14:textId="7292B93E" w:rsidR="00FC4684" w:rsidRPr="00FC4684" w:rsidRDefault="00FC4684" w:rsidP="00FC4684">
            <w:pPr>
              <w:rPr>
                <w:rFonts w:ascii="Arial" w:eastAsia="Arial Unicode MS" w:hAnsi="Arial" w:cs="Arial"/>
                <w:sz w:val="18"/>
                <w:szCs w:val="18"/>
                <w:bdr w:val="none" w:sz="0" w:space="0" w:color="auto" w:frame="1"/>
              </w:rPr>
            </w:pPr>
            <w:r w:rsidRPr="00FC4684">
              <w:rPr>
                <w:rFonts w:ascii="Arial" w:hAnsi="Arial" w:cs="Arial"/>
                <w:sz w:val="18"/>
                <w:szCs w:val="18"/>
              </w:rPr>
              <w:t>2.2.3.</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FC4684" w:rsidRPr="00FC4684" w:rsidRDefault="00FC4684" w:rsidP="00FC4684">
            <w:pPr>
              <w:rPr>
                <w:rFonts w:ascii="Arial" w:eastAsia="Arial Unicode MS" w:hAnsi="Arial" w:cs="Arial"/>
                <w:sz w:val="18"/>
                <w:szCs w:val="18"/>
                <w:highlight w:val="green"/>
                <w:bdr w:val="none" w:sz="0" w:space="0" w:color="auto" w:frame="1"/>
              </w:rPr>
            </w:pPr>
          </w:p>
        </w:tc>
      </w:tr>
      <w:tr w:rsidR="00FC4684" w:rsidRPr="00FC4684"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FC4684" w:rsidRPr="00FC4684" w:rsidRDefault="00FC4684" w:rsidP="00FC4684">
            <w:pPr>
              <w:jc w:val="center"/>
              <w:rPr>
                <w:rFonts w:ascii="Arial" w:eastAsia="Arial Unicode MS" w:hAnsi="Arial" w:cs="Arial"/>
                <w:sz w:val="18"/>
                <w:szCs w:val="18"/>
                <w:bdr w:val="none" w:sz="0" w:space="0" w:color="auto" w:frame="1"/>
              </w:rPr>
            </w:pPr>
            <w:r w:rsidRPr="00FC4684">
              <w:rPr>
                <w:rFonts w:ascii="Arial" w:eastAsia="Arial Unicode MS" w:hAnsi="Arial" w:cs="Arial"/>
                <w:sz w:val="18"/>
                <w:szCs w:val="18"/>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6C70A229" w14:textId="77777777" w:rsidR="00C42E61" w:rsidRDefault="00C42E61" w:rsidP="00C42E61">
            <w:pPr>
              <w:tabs>
                <w:tab w:val="left" w:pos="851"/>
              </w:tabs>
              <w:jc w:val="both"/>
              <w:rPr>
                <w:rFonts w:ascii="Arial" w:hAnsi="Arial" w:cs="Arial"/>
                <w:sz w:val="18"/>
                <w:szCs w:val="18"/>
                <w:shd w:val="clear" w:color="auto" w:fill="FFFFFF"/>
              </w:rPr>
            </w:pPr>
            <w:r w:rsidRPr="00C42E61">
              <w:rPr>
                <w:rFonts w:ascii="Arial" w:hAnsi="Arial" w:cs="Arial"/>
                <w:sz w:val="18"/>
                <w:szCs w:val="18"/>
                <w:shd w:val="clear" w:color="auto" w:fill="FFFFFF"/>
              </w:rPr>
              <w:t xml:space="preserve">Tiekėjas turi bent 1 (vieną) kvalifikuotą specialistą, kuriam suteikta teisė eiti ypatingo (ypatingojo) statinio statybos vadovo pareigas: </w:t>
            </w:r>
          </w:p>
          <w:p w14:paraId="7AD42D49" w14:textId="77777777" w:rsidR="00C42E61" w:rsidRPr="00C42E61" w:rsidRDefault="00C42E61" w:rsidP="00C42E61">
            <w:pPr>
              <w:tabs>
                <w:tab w:val="left" w:pos="851"/>
              </w:tabs>
              <w:jc w:val="both"/>
              <w:rPr>
                <w:rFonts w:ascii="Arial" w:hAnsi="Arial" w:cs="Arial"/>
                <w:sz w:val="18"/>
                <w:szCs w:val="18"/>
                <w:shd w:val="clear" w:color="auto" w:fill="FFFFFF"/>
              </w:rPr>
            </w:pPr>
          </w:p>
          <w:p w14:paraId="3809F73B" w14:textId="77777777" w:rsidR="00C42E61" w:rsidRDefault="00C42E61" w:rsidP="00C42E61">
            <w:pPr>
              <w:tabs>
                <w:tab w:val="left" w:pos="851"/>
              </w:tabs>
              <w:jc w:val="both"/>
              <w:rPr>
                <w:rFonts w:ascii="Arial" w:hAnsi="Arial" w:cs="Arial"/>
                <w:sz w:val="18"/>
                <w:szCs w:val="18"/>
                <w:shd w:val="clear" w:color="auto" w:fill="FFFFFF"/>
              </w:rPr>
            </w:pPr>
            <w:r w:rsidRPr="00C42E61">
              <w:rPr>
                <w:rFonts w:ascii="Arial" w:hAnsi="Arial" w:cs="Arial"/>
                <w:sz w:val="18"/>
                <w:szCs w:val="18"/>
                <w:shd w:val="clear" w:color="auto" w:fill="FFFFFF"/>
              </w:rPr>
              <w:t xml:space="preserve">statiniai: pastatai; statinių grupė: negyvenamieji pastatai. </w:t>
            </w:r>
          </w:p>
          <w:p w14:paraId="25ECB6C1" w14:textId="77777777" w:rsidR="00C42E61" w:rsidRPr="00C42E61" w:rsidRDefault="00C42E61" w:rsidP="00C42E61">
            <w:pPr>
              <w:tabs>
                <w:tab w:val="left" w:pos="851"/>
              </w:tabs>
              <w:jc w:val="both"/>
              <w:rPr>
                <w:rFonts w:ascii="Arial" w:hAnsi="Arial" w:cs="Arial"/>
                <w:sz w:val="18"/>
                <w:szCs w:val="18"/>
                <w:shd w:val="clear" w:color="auto" w:fill="FFFFFF"/>
              </w:rPr>
            </w:pPr>
          </w:p>
          <w:p w14:paraId="01943E0E" w14:textId="715E617B" w:rsidR="00FC4684" w:rsidRPr="00FC4684" w:rsidRDefault="00C42E61" w:rsidP="00C42E61">
            <w:pPr>
              <w:tabs>
                <w:tab w:val="left" w:pos="851"/>
              </w:tabs>
              <w:jc w:val="both"/>
              <w:rPr>
                <w:rFonts w:ascii="Arial" w:hAnsi="Arial" w:cs="Arial"/>
                <w:sz w:val="18"/>
                <w:szCs w:val="18"/>
                <w:shd w:val="clear" w:color="auto" w:fill="FFFFFF"/>
              </w:rPr>
            </w:pPr>
            <w:r w:rsidRPr="00C42E61">
              <w:rPr>
                <w:rFonts w:ascii="Arial" w:hAnsi="Arial" w:cs="Arial"/>
                <w:sz w:val="18"/>
                <w:szCs w:val="18"/>
                <w:shd w:val="clear" w:color="auto" w:fill="FFFFFF"/>
              </w:rPr>
              <w:t>Negyvenamųjų pastatų pogrupis: gamybos, pramonės paskirties pastatai (energetikos pastatai).</w:t>
            </w:r>
          </w:p>
        </w:tc>
        <w:tc>
          <w:tcPr>
            <w:tcW w:w="992" w:type="dxa"/>
            <w:tcBorders>
              <w:left w:val="single" w:sz="4" w:space="0" w:color="auto"/>
              <w:right w:val="single" w:sz="4" w:space="0" w:color="auto"/>
            </w:tcBorders>
          </w:tcPr>
          <w:p w14:paraId="2F1D4693" w14:textId="0E67E6F1" w:rsidR="00FC4684" w:rsidRPr="00FC4684" w:rsidRDefault="00FC4684" w:rsidP="00FC4684">
            <w:pPr>
              <w:rPr>
                <w:rFonts w:ascii="Arial" w:eastAsia="Arial Unicode MS" w:hAnsi="Arial" w:cs="Arial"/>
                <w:sz w:val="18"/>
                <w:szCs w:val="18"/>
                <w:bdr w:val="none" w:sz="0" w:space="0" w:color="auto" w:frame="1"/>
              </w:rPr>
            </w:pPr>
            <w:r w:rsidRPr="00FC4684">
              <w:rPr>
                <w:rFonts w:ascii="Arial" w:hAnsi="Arial" w:cs="Arial"/>
                <w:sz w:val="18"/>
                <w:szCs w:val="18"/>
              </w:rPr>
              <w:t>2.2.4.</w:t>
            </w:r>
            <w:r w:rsidRPr="00FC4684">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FC4684" w:rsidRPr="00FC4684" w:rsidRDefault="00FC4684" w:rsidP="00FC4684">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FC4684" w:rsidRPr="00FC4684" w:rsidRDefault="00FC4684" w:rsidP="00FC4684">
            <w:pPr>
              <w:rPr>
                <w:rFonts w:ascii="Arial" w:eastAsia="Arial Unicode MS" w:hAnsi="Arial" w:cs="Arial"/>
                <w:sz w:val="18"/>
                <w:szCs w:val="18"/>
                <w:highlight w:val="green"/>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FC4684" w:rsidRDefault="003700EE">
            <w:pPr>
              <w:ind w:right="-1" w:firstLine="322"/>
              <w:rPr>
                <w:rFonts w:ascii="Arial" w:eastAsia="Times New Roman" w:hAnsi="Arial" w:cs="Arial"/>
                <w:position w:val="6"/>
                <w:sz w:val="16"/>
                <w:szCs w:val="16"/>
              </w:rPr>
            </w:pPr>
            <w:r w:rsidRPr="00FC4684">
              <w:rPr>
                <w:rFonts w:ascii="Arial" w:eastAsia="Times New Roman" w:hAnsi="Arial" w:cs="Arial"/>
                <w:position w:val="6"/>
                <w:sz w:val="16"/>
                <w:szCs w:val="16"/>
              </w:rPr>
              <w:lastRenderedPageBreak/>
              <w:t>_____________________________</w:t>
            </w:r>
          </w:p>
          <w:p w14:paraId="12CE6B99" w14:textId="77777777" w:rsidR="003700EE" w:rsidRPr="00FC4684" w:rsidRDefault="003700EE">
            <w:pPr>
              <w:ind w:right="-1"/>
              <w:jc w:val="center"/>
              <w:rPr>
                <w:rFonts w:ascii="Arial" w:eastAsia="Times New Roman" w:hAnsi="Arial" w:cs="Arial"/>
                <w:sz w:val="16"/>
                <w:szCs w:val="16"/>
              </w:rPr>
            </w:pPr>
            <w:r w:rsidRPr="00FC4684">
              <w:rPr>
                <w:rFonts w:ascii="Arial" w:eastAsia="Times New Roman" w:hAnsi="Arial" w:cs="Arial"/>
                <w:position w:val="6"/>
                <w:sz w:val="16"/>
                <w:szCs w:val="16"/>
              </w:rPr>
              <w:t>(Dokumentą sudariusio asmens pareigų pavadinimas)</w:t>
            </w:r>
          </w:p>
        </w:tc>
        <w:tc>
          <w:tcPr>
            <w:tcW w:w="2812" w:type="dxa"/>
            <w:hideMark/>
          </w:tcPr>
          <w:p w14:paraId="14028CCC"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w:t>
            </w:r>
          </w:p>
          <w:p w14:paraId="40E03B23"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(Parašas)</w:t>
            </w:r>
          </w:p>
        </w:tc>
        <w:tc>
          <w:tcPr>
            <w:tcW w:w="2739" w:type="dxa"/>
            <w:hideMark/>
          </w:tcPr>
          <w:p w14:paraId="75497D10" w14:textId="77777777"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w:t>
            </w:r>
          </w:p>
          <w:p w14:paraId="1F4FB65E"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(Vardas ir pavardė)</w:t>
            </w:r>
          </w:p>
        </w:tc>
      </w:tr>
    </w:tbl>
    <w:p w14:paraId="5B1A1C73" w14:textId="77777777" w:rsidR="00B16494" w:rsidRPr="00F55552" w:rsidRDefault="00B16494" w:rsidP="00FC4684"/>
    <w:sectPr w:rsidR="00B16494" w:rsidRPr="00F55552" w:rsidSect="00FC4684">
      <w:pgSz w:w="15840" w:h="12240" w:orient="landscape"/>
      <w:pgMar w:top="567"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60E" w14:textId="77777777" w:rsidR="00E76E88" w:rsidRDefault="00E76E88" w:rsidP="00BD242C">
      <w:r>
        <w:separator/>
      </w:r>
    </w:p>
  </w:endnote>
  <w:endnote w:type="continuationSeparator" w:id="0">
    <w:p w14:paraId="15EA9430" w14:textId="77777777" w:rsidR="00E76E88" w:rsidRDefault="00E76E88"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6326" w14:textId="77777777" w:rsidR="00E76E88" w:rsidRDefault="00E76E88" w:rsidP="00BD242C">
      <w:r>
        <w:separator/>
      </w:r>
    </w:p>
  </w:footnote>
  <w:footnote w:type="continuationSeparator" w:id="0">
    <w:p w14:paraId="648E56AF" w14:textId="77777777" w:rsidR="00E76E88" w:rsidRDefault="00E76E88"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1F717A"/>
    <w:rsid w:val="00206743"/>
    <w:rsid w:val="00233218"/>
    <w:rsid w:val="00245F12"/>
    <w:rsid w:val="00274C47"/>
    <w:rsid w:val="002831D3"/>
    <w:rsid w:val="002916DE"/>
    <w:rsid w:val="0029179A"/>
    <w:rsid w:val="002A182E"/>
    <w:rsid w:val="002A76ED"/>
    <w:rsid w:val="002B5961"/>
    <w:rsid w:val="002C23AF"/>
    <w:rsid w:val="002D61E8"/>
    <w:rsid w:val="002F03E3"/>
    <w:rsid w:val="002F41AA"/>
    <w:rsid w:val="00313832"/>
    <w:rsid w:val="00321BAC"/>
    <w:rsid w:val="0032323E"/>
    <w:rsid w:val="00335FE1"/>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3DC3"/>
    <w:rsid w:val="00625661"/>
    <w:rsid w:val="00646E15"/>
    <w:rsid w:val="006470CE"/>
    <w:rsid w:val="00665AD4"/>
    <w:rsid w:val="00671EB1"/>
    <w:rsid w:val="00674722"/>
    <w:rsid w:val="006A21AE"/>
    <w:rsid w:val="006C3913"/>
    <w:rsid w:val="006E7B91"/>
    <w:rsid w:val="00711795"/>
    <w:rsid w:val="00772961"/>
    <w:rsid w:val="007850E4"/>
    <w:rsid w:val="007A6850"/>
    <w:rsid w:val="007B5730"/>
    <w:rsid w:val="007B6302"/>
    <w:rsid w:val="007D2719"/>
    <w:rsid w:val="007D3109"/>
    <w:rsid w:val="007D3158"/>
    <w:rsid w:val="007E60A6"/>
    <w:rsid w:val="007E7362"/>
    <w:rsid w:val="007E74B1"/>
    <w:rsid w:val="0081269D"/>
    <w:rsid w:val="00812D97"/>
    <w:rsid w:val="008301E9"/>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42E61"/>
    <w:rsid w:val="00C506C3"/>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76E88"/>
    <w:rsid w:val="00EA4FD2"/>
    <w:rsid w:val="00EA511B"/>
    <w:rsid w:val="00EB2399"/>
    <w:rsid w:val="00EB4CF0"/>
    <w:rsid w:val="00EE50AE"/>
    <w:rsid w:val="00EF3D3B"/>
    <w:rsid w:val="00F123C8"/>
    <w:rsid w:val="00F3404D"/>
    <w:rsid w:val="00F55552"/>
    <w:rsid w:val="00F806FD"/>
    <w:rsid w:val="00F92881"/>
    <w:rsid w:val="00FA4876"/>
    <w:rsid w:val="00FC4684"/>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1464</Words>
  <Characters>835</Characters>
  <Application>Microsoft Office Word</Application>
  <DocSecurity>0</DocSecurity>
  <Lines>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Indrė Kuzienė</cp:lastModifiedBy>
  <cp:revision>9</cp:revision>
  <dcterms:created xsi:type="dcterms:W3CDTF">2025-07-02T07:34:00Z</dcterms:created>
  <dcterms:modified xsi:type="dcterms:W3CDTF">2025-10-28T14:17:00Z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