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D6BD6D4" w:rsidR="00F372C9" w:rsidRPr="007B004A" w:rsidRDefault="00D56F6A"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LAUKIOJIMO PRIEMONIŲ (VALČIŲ) SU PAPILDOMA ĮRANGA KOMPLEKTAI"/>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PLAUKIOJIMO PRIEMONIŲ (VALČIŲ) SU PAPILDOMA ĮRANGA KOMPLEKTAI</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10504B7B" w14:textId="77777777" w:rsidR="00D56F6A" w:rsidRPr="00FC3C1A" w:rsidRDefault="00D56F6A" w:rsidP="00D56F6A">
      <w:pPr>
        <w:jc w:val="center"/>
        <w:rPr>
          <w:rFonts w:ascii="Times New Roman" w:hAnsi="Times New Roman"/>
          <w:b/>
          <w:bCs/>
          <w:sz w:val="24"/>
        </w:rPr>
      </w:pPr>
      <w:r w:rsidRPr="00FC3C1A">
        <w:rPr>
          <w:rFonts w:ascii="Times New Roman" w:hAnsi="Times New Roman"/>
          <w:b/>
          <w:bCs/>
          <w:sz w:val="24"/>
        </w:rPr>
        <w:t>TECHNINĖ SPECIFIKACIJA</w:t>
      </w:r>
    </w:p>
    <w:bookmarkEnd w:id="14"/>
    <w:p w14:paraId="6D390F62" w14:textId="77777777" w:rsidR="00283754" w:rsidRDefault="00283754" w:rsidP="00283754">
      <w:pPr>
        <w:ind w:firstLine="1296"/>
        <w:rPr>
          <w:rFonts w:ascii="Times New Roman" w:hAnsi="Times New Roman" w:cs="Times New Roman"/>
          <w:bCs/>
          <w:sz w:val="24"/>
        </w:rPr>
      </w:pPr>
    </w:p>
    <w:p w14:paraId="411014B8" w14:textId="24005D16" w:rsidR="00283754" w:rsidRDefault="00DA6DE2" w:rsidP="00283754">
      <w:pPr>
        <w:ind w:right="-314" w:firstLine="1296"/>
        <w:rPr>
          <w:rFonts w:ascii="Times New Roman" w:hAnsi="Times New Roman" w:cs="Times New Roman"/>
          <w:bCs/>
          <w:sz w:val="24"/>
        </w:rPr>
      </w:pPr>
      <w:r w:rsidRPr="001D4A45">
        <w:rPr>
          <w:rFonts w:ascii="Times New Roman" w:hAnsi="Times New Roman" w:cs="Times New Roman"/>
          <w:bCs/>
          <w:sz w:val="24"/>
        </w:rPr>
        <w:t>Plaukiojimo priemonių (valčių) su papildoma įranga</w:t>
      </w:r>
      <w:r w:rsidR="00283754" w:rsidRPr="001D4A45">
        <w:rPr>
          <w:rFonts w:ascii="Times New Roman" w:hAnsi="Times New Roman" w:cs="Times New Roman"/>
          <w:bCs/>
          <w:sz w:val="24"/>
        </w:rPr>
        <w:t xml:space="preserve"> komplektai skirti atlikti paieškos ir gelbėjimo</w:t>
      </w:r>
      <w:r w:rsidR="00283754" w:rsidRPr="00FC3C1A">
        <w:rPr>
          <w:rFonts w:ascii="Times New Roman" w:hAnsi="Times New Roman" w:cs="Times New Roman"/>
          <w:bCs/>
          <w:sz w:val="24"/>
        </w:rPr>
        <w:t xml:space="preserve"> darbus vidaus ir išorės vandenyse. Perkamas kiekis</w:t>
      </w:r>
      <w:r w:rsidR="00283754">
        <w:rPr>
          <w:rFonts w:ascii="Times New Roman" w:hAnsi="Times New Roman" w:cs="Times New Roman"/>
          <w:bCs/>
          <w:sz w:val="24"/>
        </w:rPr>
        <w:t xml:space="preserve"> -</w:t>
      </w:r>
      <w:r w:rsidR="00283754" w:rsidRPr="00FC3C1A">
        <w:rPr>
          <w:rFonts w:ascii="Times New Roman" w:hAnsi="Times New Roman" w:cs="Times New Roman"/>
          <w:bCs/>
          <w:sz w:val="24"/>
        </w:rPr>
        <w:t xml:space="preserve"> </w:t>
      </w:r>
      <w:r w:rsidR="00283754">
        <w:rPr>
          <w:rFonts w:ascii="Times New Roman" w:hAnsi="Times New Roman" w:cs="Times New Roman"/>
          <w:bCs/>
          <w:sz w:val="24"/>
        </w:rPr>
        <w:t>5 komplektai</w:t>
      </w:r>
      <w:r w:rsidR="00283754" w:rsidRPr="00FC3C1A">
        <w:rPr>
          <w:rFonts w:ascii="Times New Roman" w:hAnsi="Times New Roman" w:cs="Times New Roman"/>
          <w:bCs/>
          <w:sz w:val="24"/>
        </w:rPr>
        <w:t>. Pristatymo vieta</w:t>
      </w:r>
      <w:r w:rsidR="00283754">
        <w:rPr>
          <w:rFonts w:ascii="Times New Roman" w:hAnsi="Times New Roman" w:cs="Times New Roman"/>
          <w:bCs/>
          <w:sz w:val="24"/>
        </w:rPr>
        <w:t xml:space="preserve"> - adresas:</w:t>
      </w:r>
      <w:r w:rsidR="00283754" w:rsidRPr="00FC3C1A">
        <w:rPr>
          <w:rFonts w:ascii="Times New Roman" w:hAnsi="Times New Roman" w:cs="Times New Roman"/>
          <w:bCs/>
          <w:sz w:val="24"/>
        </w:rPr>
        <w:t xml:space="preserve"> Trilapio g. 12, Klaipėda.</w:t>
      </w:r>
      <w:r w:rsidR="00283754">
        <w:rPr>
          <w:rFonts w:ascii="Times New Roman" w:hAnsi="Times New Roman" w:cs="Times New Roman"/>
          <w:bCs/>
          <w:sz w:val="24"/>
        </w:rPr>
        <w:t xml:space="preserve"> Visos išlaidos susijusios su pristatymu tenka tiekėjui. </w:t>
      </w:r>
      <w:r>
        <w:rPr>
          <w:rFonts w:ascii="Times New Roman" w:hAnsi="Times New Roman" w:cs="Times New Roman"/>
          <w:bCs/>
          <w:sz w:val="24"/>
        </w:rPr>
        <w:t>K</w:t>
      </w:r>
      <w:r w:rsidR="00283754">
        <w:rPr>
          <w:rFonts w:ascii="Times New Roman" w:hAnsi="Times New Roman" w:cs="Times New Roman"/>
          <w:bCs/>
          <w:sz w:val="24"/>
        </w:rPr>
        <w:t xml:space="preserve">omplektai turi būti nauji ir nenaudoti. </w:t>
      </w:r>
    </w:p>
    <w:p w14:paraId="5731130A" w14:textId="77777777" w:rsidR="00283754" w:rsidRDefault="00283754" w:rsidP="00283754">
      <w:pPr>
        <w:rPr>
          <w:rFonts w:ascii="Times New Roman" w:hAnsi="Times New Roman" w:cs="Times New Roman"/>
          <w:bCs/>
          <w:sz w:val="24"/>
        </w:rPr>
      </w:pPr>
      <w:r>
        <w:rPr>
          <w:rFonts w:ascii="Times New Roman" w:hAnsi="Times New Roman" w:cs="Times New Roman"/>
          <w:bCs/>
          <w:sz w:val="24"/>
        </w:rPr>
        <w:t>1 komplekto sudėtis: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6"/>
        <w:gridCol w:w="1663"/>
      </w:tblGrid>
      <w:tr w:rsidR="00283754" w:rsidRPr="00283754" w14:paraId="5749CCCD" w14:textId="77777777" w:rsidTr="00283754">
        <w:tc>
          <w:tcPr>
            <w:tcW w:w="4196" w:type="pct"/>
            <w:vAlign w:val="center"/>
          </w:tcPr>
          <w:p w14:paraId="44672AAC" w14:textId="77777777" w:rsidR="00283754" w:rsidRPr="00283754" w:rsidRDefault="00283754" w:rsidP="004A217D">
            <w:pPr>
              <w:jc w:val="center"/>
              <w:rPr>
                <w:rFonts w:ascii="Times New Roman" w:hAnsi="Times New Roman" w:cs="Times New Roman"/>
                <w:b/>
                <w:sz w:val="20"/>
                <w:szCs w:val="20"/>
              </w:rPr>
            </w:pPr>
            <w:bookmarkStart w:id="16" w:name="_Hlk88484393"/>
            <w:r w:rsidRPr="00283754">
              <w:rPr>
                <w:rFonts w:ascii="Times New Roman" w:hAnsi="Times New Roman" w:cs="Times New Roman"/>
                <w:b/>
                <w:sz w:val="20"/>
                <w:szCs w:val="20"/>
              </w:rPr>
              <w:t>Prekė</w:t>
            </w:r>
          </w:p>
        </w:tc>
        <w:tc>
          <w:tcPr>
            <w:tcW w:w="804" w:type="pct"/>
            <w:vAlign w:val="center"/>
          </w:tcPr>
          <w:p w14:paraId="44DCF44E"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Kiekis</w:t>
            </w:r>
          </w:p>
          <w:p w14:paraId="6B953CC9"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vnt.</w:t>
            </w:r>
          </w:p>
        </w:tc>
      </w:tr>
      <w:tr w:rsidR="00283754" w:rsidRPr="00283754" w14:paraId="7D28079F" w14:textId="77777777" w:rsidTr="00283754">
        <w:trPr>
          <w:trHeight w:hRule="exact" w:val="567"/>
        </w:trPr>
        <w:tc>
          <w:tcPr>
            <w:tcW w:w="4196" w:type="pct"/>
            <w:tcBorders>
              <w:right w:val="single" w:sz="4" w:space="0" w:color="auto"/>
            </w:tcBorders>
            <w:vAlign w:val="center"/>
          </w:tcPr>
          <w:p w14:paraId="2A6541E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Valtis</w:t>
            </w:r>
          </w:p>
        </w:tc>
        <w:tc>
          <w:tcPr>
            <w:tcW w:w="804" w:type="pct"/>
            <w:tcBorders>
              <w:left w:val="single" w:sz="4" w:space="0" w:color="auto"/>
            </w:tcBorders>
            <w:vAlign w:val="center"/>
          </w:tcPr>
          <w:p w14:paraId="099D9349"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75D2702A" w14:textId="77777777" w:rsidTr="00283754">
        <w:trPr>
          <w:trHeight w:hRule="exact" w:val="567"/>
        </w:trPr>
        <w:tc>
          <w:tcPr>
            <w:tcW w:w="4196" w:type="pct"/>
            <w:vAlign w:val="center"/>
          </w:tcPr>
          <w:p w14:paraId="7743D51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color w:val="000000"/>
                <w:sz w:val="20"/>
                <w:szCs w:val="20"/>
              </w:rPr>
              <w:t>Pakabinamas valties varomasis variklis</w:t>
            </w:r>
          </w:p>
        </w:tc>
        <w:tc>
          <w:tcPr>
            <w:tcW w:w="804" w:type="pct"/>
          </w:tcPr>
          <w:p w14:paraId="0052715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08B79D0F" w14:textId="77777777" w:rsidTr="00283754">
        <w:trPr>
          <w:trHeight w:hRule="exact" w:val="567"/>
        </w:trPr>
        <w:tc>
          <w:tcPr>
            <w:tcW w:w="4196" w:type="pct"/>
          </w:tcPr>
          <w:p w14:paraId="3C2169F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Automobilinė valties transportavimo priekaba</w:t>
            </w:r>
          </w:p>
        </w:tc>
        <w:tc>
          <w:tcPr>
            <w:tcW w:w="804" w:type="pct"/>
          </w:tcPr>
          <w:p w14:paraId="68EA89DC"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bookmarkEnd w:id="16"/>
    </w:tbl>
    <w:p w14:paraId="31DFA1CC" w14:textId="77777777" w:rsidR="00283754" w:rsidRDefault="00283754" w:rsidP="00283754">
      <w:pPr>
        <w:rPr>
          <w:rFonts w:ascii="Times New Roman" w:hAnsi="Times New Roman" w:cs="Times New Roman"/>
          <w:bCs/>
          <w:sz w:val="24"/>
        </w:rPr>
      </w:pPr>
    </w:p>
    <w:p w14:paraId="4A8583E4" w14:textId="77777777" w:rsidR="00283754" w:rsidRDefault="00283754" w:rsidP="00283754">
      <w:pPr>
        <w:ind w:firstLine="1296"/>
        <w:rPr>
          <w:rFonts w:ascii="Times New Roman" w:hAnsi="Times New Roman" w:cs="Times New Roman"/>
          <w:bCs/>
          <w:sz w:val="24"/>
        </w:rPr>
      </w:pPr>
    </w:p>
    <w:tbl>
      <w:tblPr>
        <w:tblStyle w:val="TableGrid2"/>
        <w:tblW w:w="5000" w:type="pct"/>
        <w:tblLook w:val="04A0" w:firstRow="1" w:lastRow="0" w:firstColumn="1" w:lastColumn="0" w:noHBand="0" w:noVBand="1"/>
      </w:tblPr>
      <w:tblGrid>
        <w:gridCol w:w="1081"/>
        <w:gridCol w:w="2310"/>
        <w:gridCol w:w="6927"/>
        <w:gridCol w:w="21"/>
      </w:tblGrid>
      <w:tr w:rsidR="00283754" w:rsidRPr="00FC3C1A" w14:paraId="2953AE74" w14:textId="77777777" w:rsidTr="00283754">
        <w:trPr>
          <w:gridAfter w:val="1"/>
          <w:wAfter w:w="10" w:type="pct"/>
        </w:trPr>
        <w:tc>
          <w:tcPr>
            <w:tcW w:w="523" w:type="pct"/>
            <w:shd w:val="clear" w:color="auto" w:fill="DDD9C3" w:themeFill="background2" w:themeFillShade="E6"/>
            <w:vAlign w:val="center"/>
          </w:tcPr>
          <w:p w14:paraId="047144A4" w14:textId="77777777" w:rsidR="00283754" w:rsidRPr="00C25DBE" w:rsidRDefault="00283754" w:rsidP="004A217D">
            <w:pPr>
              <w:pStyle w:val="Sraopastraipa"/>
              <w:ind w:left="454"/>
              <w:rPr>
                <w:rFonts w:ascii="Times New Roman" w:hAnsi="Times New Roman" w:cs="Times New Roman"/>
                <w:sz w:val="24"/>
              </w:rPr>
            </w:pPr>
            <w:bookmarkStart w:id="17" w:name="_Hlk27480818"/>
            <w:r>
              <w:rPr>
                <w:rFonts w:ascii="Times New Roman" w:hAnsi="Times New Roman" w:cs="Times New Roman"/>
                <w:sz w:val="24"/>
              </w:rPr>
              <w:t>1.</w:t>
            </w:r>
          </w:p>
        </w:tc>
        <w:tc>
          <w:tcPr>
            <w:tcW w:w="4467" w:type="pct"/>
            <w:gridSpan w:val="2"/>
            <w:shd w:val="clear" w:color="auto" w:fill="DDD9C3" w:themeFill="background2" w:themeFillShade="E6"/>
            <w:vAlign w:val="center"/>
          </w:tcPr>
          <w:p w14:paraId="0863053F" w14:textId="77777777" w:rsidR="00283754" w:rsidRDefault="00283754" w:rsidP="004A217D">
            <w:pPr>
              <w:jc w:val="center"/>
              <w:rPr>
                <w:rFonts w:ascii="Times New Roman" w:hAnsi="Times New Roman" w:cs="Times New Roman"/>
                <w:b/>
                <w:bCs/>
                <w:sz w:val="24"/>
              </w:rPr>
            </w:pPr>
          </w:p>
          <w:p w14:paraId="59CD082B" w14:textId="77777777" w:rsidR="00283754" w:rsidRDefault="00283754" w:rsidP="004A217D">
            <w:pPr>
              <w:shd w:val="clear" w:color="auto" w:fill="DDD9C3" w:themeFill="background2" w:themeFillShade="E6"/>
              <w:rPr>
                <w:rFonts w:ascii="Times New Roman" w:hAnsi="Times New Roman" w:cs="Times New Roman"/>
                <w:b/>
                <w:bCs/>
                <w:sz w:val="24"/>
              </w:rPr>
            </w:pPr>
            <w:r w:rsidRPr="00FC3C1A">
              <w:rPr>
                <w:rFonts w:ascii="Times New Roman" w:hAnsi="Times New Roman" w:cs="Times New Roman"/>
                <w:b/>
                <w:bCs/>
                <w:sz w:val="24"/>
              </w:rPr>
              <w:t>Valtis</w:t>
            </w:r>
          </w:p>
          <w:p w14:paraId="29BF41FF" w14:textId="77777777" w:rsidR="00283754" w:rsidRPr="002E4954" w:rsidRDefault="00283754" w:rsidP="004A217D">
            <w:pPr>
              <w:rPr>
                <w:rFonts w:ascii="Times New Roman" w:hAnsi="Times New Roman" w:cs="Times New Roman"/>
                <w:iCs/>
                <w:sz w:val="24"/>
              </w:rPr>
            </w:pPr>
          </w:p>
        </w:tc>
      </w:tr>
      <w:tr w:rsidR="00B6077F" w:rsidRPr="00FC3C1A" w14:paraId="3ADBF52C" w14:textId="77777777" w:rsidTr="00283754">
        <w:tc>
          <w:tcPr>
            <w:tcW w:w="523" w:type="pct"/>
            <w:vAlign w:val="center"/>
          </w:tcPr>
          <w:p w14:paraId="0A585151"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1.1.</w:t>
            </w:r>
          </w:p>
        </w:tc>
        <w:tc>
          <w:tcPr>
            <w:tcW w:w="1117" w:type="pct"/>
            <w:vAlign w:val="center"/>
          </w:tcPr>
          <w:p w14:paraId="7934343D" w14:textId="65C0D686"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Ilgis</w:t>
            </w:r>
          </w:p>
        </w:tc>
        <w:tc>
          <w:tcPr>
            <w:tcW w:w="3360" w:type="pct"/>
            <w:gridSpan w:val="2"/>
            <w:vAlign w:val="center"/>
          </w:tcPr>
          <w:p w14:paraId="62C5019E" w14:textId="10BBF4D1" w:rsidR="00B6077F" w:rsidRPr="001F06C6" w:rsidRDefault="00B6077F" w:rsidP="00B6077F">
            <w:pPr>
              <w:rPr>
                <w:rFonts w:ascii="Times New Roman" w:hAnsi="Times New Roman" w:cs="Times New Roman"/>
                <w:sz w:val="24"/>
              </w:rPr>
            </w:pPr>
            <w:r>
              <w:rPr>
                <w:rFonts w:ascii="Times New Roman" w:hAnsi="Times New Roman" w:cs="Times New Roman"/>
                <w:sz w:val="24"/>
              </w:rPr>
              <w:t xml:space="preserve">Ne mažiau kaip </w:t>
            </w:r>
            <w:r w:rsidRPr="001F06C6">
              <w:rPr>
                <w:rFonts w:ascii="Times New Roman" w:hAnsi="Times New Roman" w:cs="Times New Roman"/>
                <w:sz w:val="24"/>
              </w:rPr>
              <w:t>4000 mm.</w:t>
            </w:r>
            <w:r w:rsidR="004265E2">
              <w:rPr>
                <w:rFonts w:ascii="Times New Roman" w:hAnsi="Times New Roman" w:cs="Times New Roman"/>
                <w:sz w:val="24"/>
              </w:rPr>
              <w:t xml:space="preserve">, ne daugiau </w:t>
            </w:r>
            <w:r w:rsidR="00CE73D9">
              <w:rPr>
                <w:rFonts w:ascii="Times New Roman" w:hAnsi="Times New Roman" w:cs="Times New Roman"/>
                <w:sz w:val="24"/>
              </w:rPr>
              <w:t>6</w:t>
            </w:r>
            <w:r w:rsidR="00CE73D9" w:rsidRPr="001F06C6">
              <w:rPr>
                <w:rFonts w:ascii="Times New Roman" w:hAnsi="Times New Roman" w:cs="Times New Roman"/>
                <w:sz w:val="24"/>
              </w:rPr>
              <w:t>000</w:t>
            </w:r>
            <w:r w:rsidR="00CE73D9">
              <w:rPr>
                <w:rFonts w:ascii="Times New Roman" w:hAnsi="Times New Roman" w:cs="Times New Roman"/>
                <w:sz w:val="24"/>
              </w:rPr>
              <w:t xml:space="preserve"> </w:t>
            </w:r>
            <w:r w:rsidR="00CE73D9" w:rsidRPr="001F06C6">
              <w:rPr>
                <w:rFonts w:ascii="Times New Roman" w:hAnsi="Times New Roman" w:cs="Times New Roman"/>
                <w:sz w:val="24"/>
              </w:rPr>
              <w:t>mm.</w:t>
            </w:r>
          </w:p>
        </w:tc>
      </w:tr>
      <w:tr w:rsidR="00B6077F" w:rsidRPr="00FC3C1A" w14:paraId="5ECC50E4" w14:textId="77777777" w:rsidTr="00283754">
        <w:tc>
          <w:tcPr>
            <w:tcW w:w="523" w:type="pct"/>
            <w:vAlign w:val="center"/>
          </w:tcPr>
          <w:p w14:paraId="23596C9B"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1.2.</w:t>
            </w:r>
          </w:p>
        </w:tc>
        <w:tc>
          <w:tcPr>
            <w:tcW w:w="1117" w:type="pct"/>
            <w:vAlign w:val="center"/>
          </w:tcPr>
          <w:p w14:paraId="38A8450F"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Plotis</w:t>
            </w:r>
          </w:p>
        </w:tc>
        <w:tc>
          <w:tcPr>
            <w:tcW w:w="3360" w:type="pct"/>
            <w:gridSpan w:val="2"/>
            <w:vAlign w:val="center"/>
          </w:tcPr>
          <w:p w14:paraId="2A6E269E"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Ne mažiau 1500 mm.</w:t>
            </w:r>
          </w:p>
        </w:tc>
      </w:tr>
      <w:tr w:rsidR="00B6077F" w:rsidRPr="00FC3C1A" w14:paraId="3920A53F" w14:textId="77777777" w:rsidTr="00283754">
        <w:tc>
          <w:tcPr>
            <w:tcW w:w="523" w:type="pct"/>
            <w:vAlign w:val="center"/>
          </w:tcPr>
          <w:p w14:paraId="5F481E55"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1.3.</w:t>
            </w:r>
          </w:p>
        </w:tc>
        <w:tc>
          <w:tcPr>
            <w:tcW w:w="1117" w:type="pct"/>
            <w:vAlign w:val="center"/>
          </w:tcPr>
          <w:p w14:paraId="6CC0851C" w14:textId="77777777" w:rsidR="00B6077F" w:rsidRPr="00B75AE5" w:rsidRDefault="00B6077F" w:rsidP="00B6077F">
            <w:pPr>
              <w:rPr>
                <w:rFonts w:ascii="Times New Roman" w:hAnsi="Times New Roman" w:cs="Times New Roman"/>
                <w:sz w:val="24"/>
              </w:rPr>
            </w:pPr>
            <w:r w:rsidRPr="00B75AE5">
              <w:rPr>
                <w:rFonts w:ascii="Times New Roman" w:hAnsi="Times New Roman" w:cs="Times New Roman"/>
                <w:sz w:val="24"/>
              </w:rPr>
              <w:t>Korpuso forma</w:t>
            </w:r>
          </w:p>
        </w:tc>
        <w:tc>
          <w:tcPr>
            <w:tcW w:w="3360" w:type="pct"/>
            <w:gridSpan w:val="2"/>
            <w:vAlign w:val="center"/>
          </w:tcPr>
          <w:p w14:paraId="30BF6208" w14:textId="77777777" w:rsidR="00B6077F" w:rsidRPr="00B75AE5" w:rsidRDefault="00B6077F" w:rsidP="00B6077F">
            <w:pPr>
              <w:rPr>
                <w:rFonts w:ascii="Times New Roman" w:hAnsi="Times New Roman" w:cs="Times New Roman"/>
                <w:color w:val="000000"/>
                <w:sz w:val="24"/>
              </w:rPr>
            </w:pPr>
            <w:r>
              <w:rPr>
                <w:rFonts w:ascii="Times New Roman" w:hAnsi="Times New Roman" w:cs="Times New Roman"/>
                <w:sz w:val="24"/>
              </w:rPr>
              <w:t>Valtis turi būti p</w:t>
            </w:r>
            <w:r w:rsidRPr="00B75AE5">
              <w:rPr>
                <w:rFonts w:ascii="Times New Roman" w:hAnsi="Times New Roman" w:cs="Times New Roman"/>
                <w:sz w:val="24"/>
              </w:rPr>
              <w:t>lokščio dugno</w:t>
            </w:r>
          </w:p>
        </w:tc>
      </w:tr>
      <w:tr w:rsidR="00B6077F" w:rsidRPr="00FC3C1A" w14:paraId="1DDC4EF7" w14:textId="77777777" w:rsidTr="00283754">
        <w:tc>
          <w:tcPr>
            <w:tcW w:w="523" w:type="pct"/>
            <w:vAlign w:val="center"/>
          </w:tcPr>
          <w:p w14:paraId="67DF5DB3" w14:textId="326ECD81"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612BE3">
              <w:rPr>
                <w:rFonts w:ascii="Times New Roman" w:hAnsi="Times New Roman" w:cs="Times New Roman"/>
                <w:sz w:val="24"/>
              </w:rPr>
              <w:t>4</w:t>
            </w:r>
            <w:r>
              <w:rPr>
                <w:rFonts w:ascii="Times New Roman" w:hAnsi="Times New Roman" w:cs="Times New Roman"/>
                <w:sz w:val="24"/>
              </w:rPr>
              <w:t>.</w:t>
            </w:r>
          </w:p>
        </w:tc>
        <w:tc>
          <w:tcPr>
            <w:tcW w:w="1117" w:type="pct"/>
            <w:vAlign w:val="center"/>
          </w:tcPr>
          <w:p w14:paraId="7F1A7DCF" w14:textId="77777777" w:rsidR="00B6077F" w:rsidRPr="006E2C48" w:rsidRDefault="00B6077F" w:rsidP="00B6077F">
            <w:pPr>
              <w:rPr>
                <w:rFonts w:ascii="Times New Roman" w:hAnsi="Times New Roman" w:cs="Times New Roman"/>
                <w:sz w:val="24"/>
              </w:rPr>
            </w:pPr>
            <w:r w:rsidRPr="006E2C48">
              <w:rPr>
                <w:rFonts w:ascii="Times New Roman" w:hAnsi="Times New Roman" w:cs="Times New Roman"/>
                <w:sz w:val="24"/>
              </w:rPr>
              <w:t xml:space="preserve">Korpuso medžiaga </w:t>
            </w:r>
          </w:p>
        </w:tc>
        <w:tc>
          <w:tcPr>
            <w:tcW w:w="3360" w:type="pct"/>
            <w:gridSpan w:val="2"/>
            <w:vAlign w:val="center"/>
          </w:tcPr>
          <w:p w14:paraId="3659609E" w14:textId="77777777" w:rsidR="00B6077F" w:rsidRPr="006E2C48" w:rsidRDefault="00B6077F" w:rsidP="00B6077F">
            <w:pPr>
              <w:rPr>
                <w:rFonts w:ascii="Times New Roman" w:hAnsi="Times New Roman" w:cs="Times New Roman"/>
                <w:sz w:val="24"/>
              </w:rPr>
            </w:pPr>
            <w:r>
              <w:rPr>
                <w:rFonts w:ascii="Times New Roman" w:hAnsi="Times New Roman" w:cs="Times New Roman"/>
                <w:sz w:val="24"/>
              </w:rPr>
              <w:t>Valties korpusas turi būti iš d</w:t>
            </w:r>
            <w:r w:rsidRPr="00D15715">
              <w:rPr>
                <w:rFonts w:ascii="Times New Roman" w:hAnsi="Times New Roman" w:cs="Times New Roman"/>
                <w:sz w:val="24"/>
              </w:rPr>
              <w:t>idelio tankio polietilen</w:t>
            </w:r>
            <w:r>
              <w:rPr>
                <w:rFonts w:ascii="Times New Roman" w:hAnsi="Times New Roman" w:cs="Times New Roman"/>
                <w:sz w:val="24"/>
              </w:rPr>
              <w:t>o</w:t>
            </w:r>
            <w:r w:rsidRPr="00D15715">
              <w:rPr>
                <w:rFonts w:ascii="Times New Roman" w:hAnsi="Times New Roman" w:cs="Times New Roman"/>
                <w:sz w:val="24"/>
              </w:rPr>
              <w:t xml:space="preserve"> arba lygiavertė</w:t>
            </w:r>
            <w:r>
              <w:rPr>
                <w:rFonts w:ascii="Times New Roman" w:hAnsi="Times New Roman" w:cs="Times New Roman"/>
                <w:sz w:val="24"/>
              </w:rPr>
              <w:t xml:space="preserve">s </w:t>
            </w:r>
            <w:r w:rsidRPr="00D15715">
              <w:rPr>
                <w:rFonts w:ascii="Times New Roman" w:hAnsi="Times New Roman" w:cs="Times New Roman"/>
                <w:sz w:val="24"/>
              </w:rPr>
              <w:t>medžiag</w:t>
            </w:r>
            <w:r>
              <w:rPr>
                <w:rFonts w:ascii="Times New Roman" w:hAnsi="Times New Roman" w:cs="Times New Roman"/>
                <w:sz w:val="24"/>
              </w:rPr>
              <w:t>os</w:t>
            </w:r>
          </w:p>
        </w:tc>
      </w:tr>
      <w:tr w:rsidR="00B6077F" w:rsidRPr="00FC3C1A" w14:paraId="095D8EF3" w14:textId="77777777" w:rsidTr="00283754">
        <w:tc>
          <w:tcPr>
            <w:tcW w:w="523" w:type="pct"/>
            <w:vAlign w:val="center"/>
          </w:tcPr>
          <w:p w14:paraId="27CE0ABC" w14:textId="5FCEA65A"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612BE3">
              <w:rPr>
                <w:rFonts w:ascii="Times New Roman" w:hAnsi="Times New Roman" w:cs="Times New Roman"/>
                <w:sz w:val="24"/>
              </w:rPr>
              <w:t>5</w:t>
            </w:r>
            <w:r>
              <w:rPr>
                <w:rFonts w:ascii="Times New Roman" w:hAnsi="Times New Roman" w:cs="Times New Roman"/>
                <w:sz w:val="24"/>
              </w:rPr>
              <w:t>.</w:t>
            </w:r>
          </w:p>
        </w:tc>
        <w:tc>
          <w:tcPr>
            <w:tcW w:w="1117" w:type="pct"/>
            <w:vAlign w:val="center"/>
          </w:tcPr>
          <w:p w14:paraId="267EA032" w14:textId="77777777" w:rsidR="00B6077F" w:rsidRPr="00F62797" w:rsidRDefault="00B6077F" w:rsidP="00B6077F">
            <w:pPr>
              <w:rPr>
                <w:rFonts w:ascii="Times New Roman" w:hAnsi="Times New Roman" w:cs="Times New Roman"/>
                <w:sz w:val="24"/>
              </w:rPr>
            </w:pPr>
            <w:r>
              <w:rPr>
                <w:rFonts w:ascii="Times New Roman" w:hAnsi="Times New Roman" w:cs="Times New Roman"/>
                <w:sz w:val="24"/>
              </w:rPr>
              <w:t xml:space="preserve">Valties nešimo </w:t>
            </w:r>
            <w:r w:rsidRPr="00F62797">
              <w:rPr>
                <w:rFonts w:ascii="Times New Roman" w:hAnsi="Times New Roman" w:cs="Times New Roman"/>
                <w:sz w:val="24"/>
              </w:rPr>
              <w:t>rankenos</w:t>
            </w:r>
          </w:p>
        </w:tc>
        <w:tc>
          <w:tcPr>
            <w:tcW w:w="3360" w:type="pct"/>
            <w:gridSpan w:val="2"/>
            <w:vAlign w:val="center"/>
          </w:tcPr>
          <w:p w14:paraId="62D46618" w14:textId="77777777" w:rsidR="00B6077F" w:rsidRPr="00F62797" w:rsidRDefault="00B6077F" w:rsidP="00B6077F">
            <w:pPr>
              <w:rPr>
                <w:rFonts w:ascii="Times New Roman" w:hAnsi="Times New Roman" w:cs="Times New Roman"/>
                <w:color w:val="000000"/>
                <w:sz w:val="24"/>
              </w:rPr>
            </w:pPr>
            <w:r>
              <w:rPr>
                <w:rFonts w:ascii="Times New Roman" w:hAnsi="Times New Roman" w:cs="Times New Roman"/>
                <w:sz w:val="24"/>
              </w:rPr>
              <w:t>Ant valties korpuso turi būti sumontuotos valties nešimui skirtos rankenos</w:t>
            </w:r>
            <w:r w:rsidRPr="00F62797">
              <w:rPr>
                <w:rFonts w:ascii="Times New Roman" w:hAnsi="Times New Roman" w:cs="Times New Roman"/>
                <w:sz w:val="24"/>
              </w:rPr>
              <w:t xml:space="preserve"> </w:t>
            </w:r>
          </w:p>
        </w:tc>
      </w:tr>
      <w:tr w:rsidR="00B6077F" w:rsidRPr="00FC3C1A" w14:paraId="1E65534B" w14:textId="77777777" w:rsidTr="00283754">
        <w:tc>
          <w:tcPr>
            <w:tcW w:w="523" w:type="pct"/>
            <w:vAlign w:val="center"/>
          </w:tcPr>
          <w:p w14:paraId="6541A6CA" w14:textId="15D0B865"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612BE3">
              <w:rPr>
                <w:rFonts w:ascii="Times New Roman" w:hAnsi="Times New Roman" w:cs="Times New Roman"/>
                <w:sz w:val="24"/>
              </w:rPr>
              <w:t>6</w:t>
            </w:r>
            <w:r>
              <w:rPr>
                <w:rFonts w:ascii="Times New Roman" w:hAnsi="Times New Roman" w:cs="Times New Roman"/>
                <w:sz w:val="24"/>
              </w:rPr>
              <w:t>.</w:t>
            </w:r>
          </w:p>
        </w:tc>
        <w:tc>
          <w:tcPr>
            <w:tcW w:w="1117" w:type="pct"/>
            <w:vAlign w:val="center"/>
          </w:tcPr>
          <w:p w14:paraId="22A87B29" w14:textId="77777777" w:rsidR="00B6077F" w:rsidRPr="00E80E97" w:rsidRDefault="00B6077F" w:rsidP="00B6077F">
            <w:pPr>
              <w:rPr>
                <w:rFonts w:ascii="Times New Roman" w:hAnsi="Times New Roman" w:cs="Times New Roman"/>
                <w:sz w:val="24"/>
              </w:rPr>
            </w:pPr>
            <w:r w:rsidRPr="00E80E97">
              <w:rPr>
                <w:rFonts w:ascii="Times New Roman" w:hAnsi="Times New Roman" w:cs="Times New Roman"/>
                <w:color w:val="000000"/>
                <w:sz w:val="24"/>
              </w:rPr>
              <w:t>Kilpa tempimui arba tvirtinimui prie priekabos</w:t>
            </w:r>
          </w:p>
        </w:tc>
        <w:tc>
          <w:tcPr>
            <w:tcW w:w="3360" w:type="pct"/>
            <w:gridSpan w:val="2"/>
            <w:vAlign w:val="center"/>
          </w:tcPr>
          <w:p w14:paraId="34899D53" w14:textId="77777777" w:rsidR="00B6077F" w:rsidRPr="00E80E97" w:rsidRDefault="00B6077F" w:rsidP="00B6077F">
            <w:pPr>
              <w:rPr>
                <w:rFonts w:ascii="Times New Roman" w:hAnsi="Times New Roman" w:cs="Times New Roman"/>
                <w:color w:val="000000"/>
                <w:sz w:val="24"/>
              </w:rPr>
            </w:pPr>
            <w:r>
              <w:rPr>
                <w:rFonts w:ascii="Times New Roman" w:hAnsi="Times New Roman" w:cs="Times New Roman"/>
                <w:color w:val="000000"/>
                <w:sz w:val="24"/>
              </w:rPr>
              <w:t>Valties priekyje turi būti sumontuota kilpa skirta valties tempimui arba tvirtinimui prie priekabos</w:t>
            </w:r>
          </w:p>
        </w:tc>
      </w:tr>
      <w:tr w:rsidR="00B6077F" w:rsidRPr="00FC3C1A" w14:paraId="3C15D068" w14:textId="77777777" w:rsidTr="00283754">
        <w:tc>
          <w:tcPr>
            <w:tcW w:w="523" w:type="pct"/>
            <w:vAlign w:val="center"/>
          </w:tcPr>
          <w:p w14:paraId="13EB6E11" w14:textId="36260448" w:rsidR="00B6077F" w:rsidRPr="00C25DBE" w:rsidRDefault="00B6077F" w:rsidP="00B6077F">
            <w:pPr>
              <w:pStyle w:val="Sraopastraipa"/>
              <w:ind w:left="0"/>
              <w:jc w:val="both"/>
              <w:rPr>
                <w:rFonts w:ascii="Times New Roman" w:hAnsi="Times New Roman" w:cs="Times New Roman"/>
                <w:sz w:val="24"/>
              </w:rPr>
            </w:pPr>
            <w:r>
              <w:rPr>
                <w:rFonts w:ascii="Times New Roman" w:hAnsi="Times New Roman" w:cs="Times New Roman"/>
                <w:sz w:val="24"/>
              </w:rPr>
              <w:t>1.</w:t>
            </w:r>
            <w:r w:rsidR="00A06A03">
              <w:rPr>
                <w:rFonts w:ascii="Times New Roman" w:hAnsi="Times New Roman" w:cs="Times New Roman"/>
                <w:sz w:val="24"/>
              </w:rPr>
              <w:t>7</w:t>
            </w:r>
            <w:r>
              <w:rPr>
                <w:rFonts w:ascii="Times New Roman" w:hAnsi="Times New Roman" w:cs="Times New Roman"/>
                <w:sz w:val="24"/>
              </w:rPr>
              <w:t>.</w:t>
            </w:r>
          </w:p>
        </w:tc>
        <w:tc>
          <w:tcPr>
            <w:tcW w:w="1117" w:type="pct"/>
            <w:vAlign w:val="center"/>
          </w:tcPr>
          <w:p w14:paraId="49EA3D98" w14:textId="77777777" w:rsidR="00B6077F" w:rsidRPr="00755E6A" w:rsidRDefault="00B6077F" w:rsidP="00B6077F">
            <w:pPr>
              <w:rPr>
                <w:rFonts w:ascii="Times New Roman" w:hAnsi="Times New Roman" w:cs="Times New Roman"/>
                <w:sz w:val="24"/>
              </w:rPr>
            </w:pPr>
            <w:r w:rsidRPr="00755E6A">
              <w:rPr>
                <w:rFonts w:ascii="Times New Roman" w:hAnsi="Times New Roman" w:cs="Times New Roman"/>
                <w:sz w:val="24"/>
              </w:rPr>
              <w:t>Daiktadėžės</w:t>
            </w:r>
          </w:p>
        </w:tc>
        <w:tc>
          <w:tcPr>
            <w:tcW w:w="3360" w:type="pct"/>
            <w:gridSpan w:val="2"/>
            <w:vAlign w:val="center"/>
          </w:tcPr>
          <w:p w14:paraId="3A49CBA2" w14:textId="1DDF586B" w:rsidR="00B6077F" w:rsidRPr="00755E6A" w:rsidRDefault="00B6077F" w:rsidP="00B6077F">
            <w:pPr>
              <w:rPr>
                <w:rFonts w:ascii="Times New Roman" w:hAnsi="Times New Roman" w:cs="Times New Roman"/>
                <w:color w:val="000000"/>
                <w:sz w:val="24"/>
              </w:rPr>
            </w:pPr>
            <w:r>
              <w:rPr>
                <w:rFonts w:ascii="Times New Roman" w:hAnsi="Times New Roman" w:cs="Times New Roman"/>
                <w:sz w:val="24"/>
              </w:rPr>
              <w:t xml:space="preserve">Valtis turi turėti </w:t>
            </w:r>
            <w:r w:rsidRPr="00755E6A">
              <w:rPr>
                <w:rFonts w:ascii="Times New Roman" w:hAnsi="Times New Roman" w:cs="Times New Roman"/>
                <w:sz w:val="24"/>
              </w:rPr>
              <w:t>nepralaidži</w:t>
            </w:r>
            <w:r w:rsidR="00612BE3">
              <w:rPr>
                <w:rFonts w:ascii="Times New Roman" w:hAnsi="Times New Roman" w:cs="Times New Roman"/>
                <w:sz w:val="24"/>
              </w:rPr>
              <w:t>ą</w:t>
            </w:r>
            <w:r w:rsidRPr="00755E6A">
              <w:rPr>
                <w:rFonts w:ascii="Times New Roman" w:hAnsi="Times New Roman" w:cs="Times New Roman"/>
                <w:sz w:val="24"/>
              </w:rPr>
              <w:t xml:space="preserve"> vandeniui, integruot</w:t>
            </w:r>
            <w:r w:rsidR="00612BE3">
              <w:rPr>
                <w:rFonts w:ascii="Times New Roman" w:hAnsi="Times New Roman" w:cs="Times New Roman"/>
                <w:sz w:val="24"/>
              </w:rPr>
              <w:t>ą</w:t>
            </w:r>
            <w:r w:rsidRPr="00755E6A">
              <w:rPr>
                <w:rFonts w:ascii="Times New Roman" w:hAnsi="Times New Roman" w:cs="Times New Roman"/>
                <w:sz w:val="24"/>
              </w:rPr>
              <w:t xml:space="preserve"> į valties konstrukciją</w:t>
            </w:r>
            <w:r>
              <w:rPr>
                <w:rFonts w:ascii="Times New Roman" w:hAnsi="Times New Roman" w:cs="Times New Roman"/>
                <w:sz w:val="24"/>
              </w:rPr>
              <w:t xml:space="preserve"> daiktadėž</w:t>
            </w:r>
            <w:r w:rsidR="00612BE3">
              <w:rPr>
                <w:rFonts w:ascii="Times New Roman" w:hAnsi="Times New Roman" w:cs="Times New Roman"/>
                <w:sz w:val="24"/>
              </w:rPr>
              <w:t>ę.</w:t>
            </w:r>
          </w:p>
        </w:tc>
      </w:tr>
      <w:tr w:rsidR="00B6077F" w:rsidRPr="00FC3C1A" w14:paraId="68C5599C" w14:textId="77777777" w:rsidTr="00283754">
        <w:tc>
          <w:tcPr>
            <w:tcW w:w="523" w:type="pct"/>
            <w:vAlign w:val="center"/>
          </w:tcPr>
          <w:p w14:paraId="2BE8F55B" w14:textId="1EFDC6B4" w:rsidR="00B6077F" w:rsidRPr="00A06A03" w:rsidRDefault="00A06A03" w:rsidP="00A06A03">
            <w:pPr>
              <w:jc w:val="both"/>
              <w:rPr>
                <w:rFonts w:ascii="Times New Roman" w:hAnsi="Times New Roman" w:cs="Times New Roman"/>
                <w:color w:val="FF0000"/>
                <w:sz w:val="24"/>
              </w:rPr>
            </w:pPr>
            <w:r w:rsidRPr="00A06A03">
              <w:rPr>
                <w:rFonts w:ascii="Times New Roman" w:hAnsi="Times New Roman" w:cs="Times New Roman"/>
                <w:sz w:val="24"/>
              </w:rPr>
              <w:t>1.8.</w:t>
            </w:r>
          </w:p>
        </w:tc>
        <w:tc>
          <w:tcPr>
            <w:tcW w:w="1117" w:type="pct"/>
            <w:vAlign w:val="center"/>
          </w:tcPr>
          <w:p w14:paraId="23197A27"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Ženklinamas CE ženklu</w:t>
            </w:r>
          </w:p>
        </w:tc>
        <w:tc>
          <w:tcPr>
            <w:tcW w:w="3360" w:type="pct"/>
            <w:gridSpan w:val="2"/>
            <w:vAlign w:val="center"/>
          </w:tcPr>
          <w:p w14:paraId="236FF8B2" w14:textId="77777777" w:rsidR="00B6077F" w:rsidRDefault="00B6077F" w:rsidP="00B6077F">
            <w:pPr>
              <w:rPr>
                <w:rFonts w:ascii="Times New Roman" w:hAnsi="Times New Roman" w:cs="Times New Roman"/>
                <w:sz w:val="24"/>
              </w:rPr>
            </w:pPr>
            <w:r w:rsidRPr="00C30C24">
              <w:rPr>
                <w:rFonts w:ascii="Times New Roman" w:hAnsi="Times New Roman" w:cs="Times New Roman"/>
                <w:sz w:val="24"/>
              </w:rPr>
              <w:t>Valtis turi atitikti Europos parlamento ir Tarybos direktyvos 2013/53/ES nustatytus reikalavimus ir turi būti ženklinamas CE ženklu.</w:t>
            </w:r>
          </w:p>
          <w:p w14:paraId="19A485EE" w14:textId="77777777" w:rsidR="00B6077F" w:rsidRDefault="00B6077F" w:rsidP="00B6077F">
            <w:pPr>
              <w:rPr>
                <w:rFonts w:ascii="Times New Roman" w:hAnsi="Times New Roman" w:cs="Times New Roman"/>
                <w:sz w:val="24"/>
              </w:rPr>
            </w:pPr>
            <w:r>
              <w:rPr>
                <w:rFonts w:ascii="Times New Roman" w:hAnsi="Times New Roman" w:cs="Times New Roman"/>
                <w:sz w:val="24"/>
              </w:rPr>
              <w:t xml:space="preserve">Žr. </w:t>
            </w:r>
            <w:hyperlink r:id="rId10" w:history="1">
              <w:r w:rsidRPr="00A508AE">
                <w:rPr>
                  <w:rStyle w:val="Hipersaitas"/>
                  <w:rFonts w:ascii="Times New Roman" w:hAnsi="Times New Roman" w:cs="Times New Roman"/>
                  <w:sz w:val="24"/>
                </w:rPr>
                <w:t>https://eur-lex.europa.eu/legal-content/LT/TXT/?uri=CELEX%3A32013L0053</w:t>
              </w:r>
            </w:hyperlink>
          </w:p>
          <w:p w14:paraId="57B2B6F4" w14:textId="77777777" w:rsidR="00B6077F" w:rsidRDefault="00B6077F" w:rsidP="00B6077F">
            <w:pPr>
              <w:rPr>
                <w:rFonts w:ascii="Times New Roman" w:hAnsi="Times New Roman" w:cs="Times New Roman"/>
                <w:sz w:val="24"/>
              </w:rPr>
            </w:pPr>
          </w:p>
          <w:p w14:paraId="7E219105" w14:textId="77777777" w:rsidR="00B6077F" w:rsidRPr="00C30C24" w:rsidRDefault="00B6077F" w:rsidP="00B6077F">
            <w:pPr>
              <w:rPr>
                <w:rFonts w:ascii="Times New Roman" w:hAnsi="Times New Roman" w:cs="Times New Roman"/>
                <w:sz w:val="24"/>
              </w:rPr>
            </w:pPr>
            <w:r>
              <w:rPr>
                <w:rFonts w:ascii="Times New Roman" w:hAnsi="Times New Roman" w:cs="Times New Roman"/>
                <w:sz w:val="24"/>
              </w:rPr>
              <w:t>Su pasiūlymu turi būti pateikta galiojanti ES atitikties deklaracija originalo kalba su patvirtintu vertimu į lietuvių kalbą</w:t>
            </w:r>
          </w:p>
        </w:tc>
      </w:tr>
      <w:tr w:rsidR="00B6077F" w:rsidRPr="00FC3C1A" w14:paraId="6FE1F635" w14:textId="77777777" w:rsidTr="00283754">
        <w:tc>
          <w:tcPr>
            <w:tcW w:w="523" w:type="pct"/>
            <w:vAlign w:val="center"/>
          </w:tcPr>
          <w:p w14:paraId="760BABFB" w14:textId="47A4E838" w:rsidR="00B6077F" w:rsidRPr="00763FF5" w:rsidRDefault="00B6077F" w:rsidP="00B6077F">
            <w:pPr>
              <w:pStyle w:val="Sraopastraipa"/>
              <w:ind w:left="0"/>
              <w:rPr>
                <w:rFonts w:ascii="Times New Roman" w:hAnsi="Times New Roman" w:cs="Times New Roman"/>
                <w:sz w:val="24"/>
              </w:rPr>
            </w:pPr>
            <w:r>
              <w:rPr>
                <w:rFonts w:ascii="Times New Roman" w:hAnsi="Times New Roman" w:cs="Times New Roman"/>
                <w:sz w:val="24"/>
              </w:rPr>
              <w:t>1.</w:t>
            </w:r>
            <w:r w:rsidR="00A06A03">
              <w:rPr>
                <w:rFonts w:ascii="Times New Roman" w:hAnsi="Times New Roman" w:cs="Times New Roman"/>
                <w:sz w:val="24"/>
              </w:rPr>
              <w:t>9</w:t>
            </w:r>
            <w:r>
              <w:rPr>
                <w:rFonts w:ascii="Times New Roman" w:hAnsi="Times New Roman" w:cs="Times New Roman"/>
                <w:sz w:val="24"/>
              </w:rPr>
              <w:t>.</w:t>
            </w:r>
          </w:p>
        </w:tc>
        <w:tc>
          <w:tcPr>
            <w:tcW w:w="1117" w:type="pct"/>
            <w:vAlign w:val="center"/>
          </w:tcPr>
          <w:p w14:paraId="38D1B51E" w14:textId="77777777" w:rsidR="00B6077F" w:rsidRPr="00763FF5" w:rsidRDefault="00B6077F" w:rsidP="00B6077F">
            <w:pPr>
              <w:rPr>
                <w:rFonts w:ascii="Times New Roman" w:hAnsi="Times New Roman" w:cs="Times New Roman"/>
                <w:sz w:val="24"/>
              </w:rPr>
            </w:pPr>
            <w:r w:rsidRPr="00763FF5">
              <w:rPr>
                <w:rFonts w:ascii="Times New Roman" w:hAnsi="Times New Roman" w:cs="Times New Roman"/>
                <w:sz w:val="24"/>
              </w:rPr>
              <w:t>Keliamoji galia</w:t>
            </w:r>
          </w:p>
        </w:tc>
        <w:tc>
          <w:tcPr>
            <w:tcW w:w="3360" w:type="pct"/>
            <w:gridSpan w:val="2"/>
            <w:vAlign w:val="center"/>
          </w:tcPr>
          <w:p w14:paraId="601E2054" w14:textId="77777777" w:rsidR="00B6077F" w:rsidRDefault="00B6077F" w:rsidP="00B6077F">
            <w:pPr>
              <w:rPr>
                <w:rFonts w:ascii="Times New Roman" w:hAnsi="Times New Roman" w:cs="Times New Roman"/>
                <w:sz w:val="24"/>
              </w:rPr>
            </w:pPr>
          </w:p>
          <w:p w14:paraId="7ECB2DF3" w14:textId="77777777" w:rsidR="00B6077F" w:rsidRDefault="00B6077F" w:rsidP="00B6077F">
            <w:pPr>
              <w:rPr>
                <w:rFonts w:ascii="Times New Roman" w:hAnsi="Times New Roman" w:cs="Times New Roman"/>
                <w:sz w:val="24"/>
              </w:rPr>
            </w:pPr>
            <w:r>
              <w:rPr>
                <w:rFonts w:ascii="Times New Roman" w:hAnsi="Times New Roman" w:cs="Times New Roman"/>
                <w:sz w:val="24"/>
              </w:rPr>
              <w:t>Valties keliamoji galia n</w:t>
            </w:r>
            <w:r w:rsidRPr="00763FF5">
              <w:rPr>
                <w:rFonts w:ascii="Times New Roman" w:hAnsi="Times New Roman" w:cs="Times New Roman"/>
                <w:sz w:val="24"/>
              </w:rPr>
              <w:t>e mažiau 350 kg.</w:t>
            </w:r>
          </w:p>
          <w:p w14:paraId="53AEB1A5" w14:textId="77777777" w:rsidR="00B6077F" w:rsidRPr="00763FF5" w:rsidRDefault="00B6077F" w:rsidP="00B6077F">
            <w:pPr>
              <w:rPr>
                <w:rFonts w:ascii="Times New Roman" w:hAnsi="Times New Roman" w:cs="Times New Roman"/>
                <w:sz w:val="24"/>
              </w:rPr>
            </w:pPr>
          </w:p>
        </w:tc>
      </w:tr>
      <w:tr w:rsidR="00B6077F" w:rsidRPr="00B6077F" w14:paraId="44BAAD67" w14:textId="77777777" w:rsidTr="00283754">
        <w:tc>
          <w:tcPr>
            <w:tcW w:w="523" w:type="pct"/>
            <w:vAlign w:val="center"/>
          </w:tcPr>
          <w:p w14:paraId="4AAF4557" w14:textId="2F4EBB6E"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w:t>
            </w:r>
            <w:r w:rsidR="00A06A03">
              <w:rPr>
                <w:rFonts w:ascii="Times New Roman" w:hAnsi="Times New Roman" w:cs="Times New Roman"/>
                <w:sz w:val="24"/>
              </w:rPr>
              <w:t>0</w:t>
            </w:r>
            <w:r w:rsidRPr="00B6077F">
              <w:rPr>
                <w:rFonts w:ascii="Times New Roman" w:hAnsi="Times New Roman" w:cs="Times New Roman"/>
                <w:sz w:val="24"/>
              </w:rPr>
              <w:t>.</w:t>
            </w:r>
          </w:p>
        </w:tc>
        <w:tc>
          <w:tcPr>
            <w:tcW w:w="1117" w:type="pct"/>
            <w:vAlign w:val="center"/>
          </w:tcPr>
          <w:p w14:paraId="4103FEA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Apipavidalinimas</w:t>
            </w:r>
          </w:p>
        </w:tc>
        <w:tc>
          <w:tcPr>
            <w:tcW w:w="3360" w:type="pct"/>
            <w:gridSpan w:val="2"/>
            <w:vAlign w:val="center"/>
          </w:tcPr>
          <w:p w14:paraId="514C797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Ant abiejų valties šonų turi būti kontrastinės spalvos užrašai „Priešgaisrinė gelbėjimo tarnyba“ bei valties numeris.</w:t>
            </w:r>
          </w:p>
          <w:p w14:paraId="7DDDE58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Konkretus apipavidalinimo dizainas bei raidžių ir skaičių dydžiai bus nurodyti sutarties sudarymo metu.</w:t>
            </w:r>
          </w:p>
        </w:tc>
      </w:tr>
      <w:tr w:rsidR="00B6077F" w:rsidRPr="00B6077F" w14:paraId="0B5B0100" w14:textId="77777777" w:rsidTr="00283754">
        <w:tc>
          <w:tcPr>
            <w:tcW w:w="523" w:type="pct"/>
            <w:vAlign w:val="center"/>
          </w:tcPr>
          <w:p w14:paraId="489B27F4" w14:textId="186E285D"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lastRenderedPageBreak/>
              <w:t>1.1</w:t>
            </w:r>
            <w:r w:rsidR="00A06A03">
              <w:rPr>
                <w:rFonts w:ascii="Times New Roman" w:hAnsi="Times New Roman" w:cs="Times New Roman"/>
                <w:sz w:val="24"/>
              </w:rPr>
              <w:t>1</w:t>
            </w:r>
            <w:r w:rsidRPr="00B6077F">
              <w:rPr>
                <w:rFonts w:ascii="Times New Roman" w:hAnsi="Times New Roman" w:cs="Times New Roman"/>
                <w:sz w:val="24"/>
              </w:rPr>
              <w:t>.</w:t>
            </w:r>
          </w:p>
        </w:tc>
        <w:tc>
          <w:tcPr>
            <w:tcW w:w="1117" w:type="pct"/>
            <w:vAlign w:val="center"/>
          </w:tcPr>
          <w:p w14:paraId="035885D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bCs/>
                <w:sz w:val="24"/>
              </w:rPr>
              <w:t>Registracija</w:t>
            </w:r>
          </w:p>
        </w:tc>
        <w:tc>
          <w:tcPr>
            <w:tcW w:w="3360" w:type="pct"/>
            <w:gridSpan w:val="2"/>
            <w:vAlign w:val="center"/>
          </w:tcPr>
          <w:p w14:paraId="76129C6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Iki perdavimo pirkėjui,  valtis tiekėjas turi užregistruoti pirkėjo vardu (perkančioji organizacija suteiks reikiamą įgaliojimą) Lietuvos Respublikos vidaus vandenų laivų registre, teisės aktų nustatyta tvarka.</w:t>
            </w:r>
          </w:p>
          <w:p w14:paraId="4306464D" w14:textId="77777777" w:rsidR="00B6077F" w:rsidRPr="00B6077F" w:rsidRDefault="00B6077F" w:rsidP="00B6077F">
            <w:pPr>
              <w:rPr>
                <w:rFonts w:ascii="Times New Roman" w:hAnsi="Times New Roman" w:cs="Times New Roman"/>
                <w:sz w:val="24"/>
              </w:rPr>
            </w:pPr>
          </w:p>
          <w:p w14:paraId="62C3C49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 xml:space="preserve">Valtys turi būti užregistruotos kaip </w:t>
            </w:r>
            <w:r w:rsidRPr="00B6077F">
              <w:rPr>
                <w:rFonts w:ascii="Times New Roman" w:hAnsi="Times New Roman" w:cs="Times New Roman"/>
                <w:b/>
                <w:bCs/>
                <w:sz w:val="24"/>
              </w:rPr>
              <w:t>techniniai (tarnybiniai) laivai (</w:t>
            </w:r>
            <w:r w:rsidRPr="00B6077F">
              <w:rPr>
                <w:rFonts w:ascii="Times New Roman" w:hAnsi="Times New Roman" w:cs="Times New Roman"/>
                <w:sz w:val="24"/>
              </w:rPr>
              <w:t>Lietuvos Respublikos vidaus vandenų transporto kodekso 15 straipsnis).</w:t>
            </w:r>
          </w:p>
        </w:tc>
      </w:tr>
      <w:tr w:rsidR="00B6077F" w:rsidRPr="00B6077F" w14:paraId="0F5277F1" w14:textId="77777777" w:rsidTr="00283754">
        <w:tc>
          <w:tcPr>
            <w:tcW w:w="523" w:type="pct"/>
            <w:vAlign w:val="center"/>
          </w:tcPr>
          <w:p w14:paraId="3D420C6E" w14:textId="44B8DB75"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w:t>
            </w:r>
            <w:r w:rsidR="00A06A03">
              <w:rPr>
                <w:rFonts w:ascii="Times New Roman" w:hAnsi="Times New Roman" w:cs="Times New Roman"/>
                <w:sz w:val="24"/>
              </w:rPr>
              <w:t>2</w:t>
            </w:r>
            <w:r w:rsidRPr="00B6077F">
              <w:rPr>
                <w:rFonts w:ascii="Times New Roman" w:hAnsi="Times New Roman" w:cs="Times New Roman"/>
                <w:sz w:val="24"/>
              </w:rPr>
              <w:t>.</w:t>
            </w:r>
          </w:p>
        </w:tc>
        <w:tc>
          <w:tcPr>
            <w:tcW w:w="1117" w:type="pct"/>
            <w:vAlign w:val="center"/>
          </w:tcPr>
          <w:p w14:paraId="29E3B0FA" w14:textId="77777777" w:rsidR="00B6077F" w:rsidRPr="00B6077F" w:rsidRDefault="00B6077F" w:rsidP="00B6077F">
            <w:pPr>
              <w:rPr>
                <w:rFonts w:ascii="Times New Roman" w:hAnsi="Times New Roman" w:cs="Times New Roman"/>
                <w:bCs/>
                <w:sz w:val="24"/>
              </w:rPr>
            </w:pPr>
            <w:r w:rsidRPr="00B6077F">
              <w:rPr>
                <w:rFonts w:ascii="Times New Roman" w:hAnsi="Times New Roman" w:cs="Times New Roman"/>
                <w:bCs/>
                <w:sz w:val="24"/>
              </w:rPr>
              <w:t>Aplinkos apsaugos kriterijų taikymas</w:t>
            </w:r>
          </w:p>
        </w:tc>
        <w:tc>
          <w:tcPr>
            <w:tcW w:w="3360" w:type="pct"/>
            <w:gridSpan w:val="2"/>
            <w:vAlign w:val="center"/>
          </w:tcPr>
          <w:p w14:paraId="0E376A61" w14:textId="54E2CC9F"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Pagal Lietuvos Respublikos aplinkos ministro</w:t>
            </w:r>
            <w:r w:rsidR="006713A7">
              <w:rPr>
                <w:rFonts w:ascii="Times New Roman" w:hAnsi="Times New Roman" w:cs="Times New Roman"/>
                <w:sz w:val="24"/>
              </w:rPr>
              <w:t xml:space="preserve"> </w:t>
            </w:r>
            <w:r w:rsidRPr="00B6077F">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B6077F">
              <w:rPr>
                <w:rFonts w:ascii="Times New Roman" w:hAnsi="Times New Roman" w:cs="Times New Roman"/>
                <w:sz w:val="24"/>
              </w:rPr>
              <w:t>patvirtinto Aplinkos apsaugos kriterijų taikymo, vykdant žaliuosius pirkimus, tvarkos aprašo 4.4.4.5. punkt</w:t>
            </w:r>
            <w:r w:rsidR="006713A7">
              <w:rPr>
                <w:rFonts w:ascii="Times New Roman" w:hAnsi="Times New Roman" w:cs="Times New Roman"/>
                <w:sz w:val="24"/>
              </w:rPr>
              <w:t>ą</w:t>
            </w:r>
            <w:r w:rsidRPr="00B6077F">
              <w:rPr>
                <w:rFonts w:ascii="Times New Roman" w:hAnsi="Times New Roman" w:cs="Times New Roman"/>
                <w:sz w:val="24"/>
              </w:rPr>
              <w:t>:</w:t>
            </w:r>
          </w:p>
          <w:p w14:paraId="25AB3BD2" w14:textId="55B9EC5E"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Valtys turi būti tvirtos, ilgaamžės, funkcionalios, jos ar jų</w:t>
            </w:r>
            <w:r w:rsidR="006713A7">
              <w:rPr>
                <w:rFonts w:ascii="Times New Roman" w:hAnsi="Times New Roman" w:cs="Times New Roman"/>
                <w:sz w:val="24"/>
              </w:rPr>
              <w:t xml:space="preserve"> </w:t>
            </w:r>
            <w:r w:rsidRPr="00B6077F">
              <w:rPr>
                <w:rFonts w:ascii="Times New Roman" w:hAnsi="Times New Roman" w:cs="Times New Roman"/>
                <w:sz w:val="24"/>
              </w:rPr>
              <w:t>sudedamosios dalys turi tikti naudoti daug kartų ir (ar) būti lengvai pataisomos, ir (ar) pakeičiamos, valtys virtusios atliekomis, turi būti tinkamos paruošti pakartotinai naudoti ar perdirbti.</w:t>
            </w:r>
          </w:p>
          <w:p w14:paraId="3522B3A4"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tc>
      </w:tr>
      <w:tr w:rsidR="00B6077F" w:rsidRPr="00FC3C1A" w14:paraId="30B3788A" w14:textId="77777777" w:rsidTr="00283754">
        <w:trPr>
          <w:gridAfter w:val="1"/>
          <w:wAfter w:w="10" w:type="pct"/>
        </w:trPr>
        <w:tc>
          <w:tcPr>
            <w:tcW w:w="523" w:type="pct"/>
            <w:shd w:val="clear" w:color="auto" w:fill="DDD9C3" w:themeFill="background2" w:themeFillShade="E6"/>
            <w:vAlign w:val="center"/>
          </w:tcPr>
          <w:p w14:paraId="69D01876" w14:textId="77777777" w:rsidR="00B6077F" w:rsidRPr="00DB220B" w:rsidRDefault="00B6077F" w:rsidP="00A06A03">
            <w:pPr>
              <w:pStyle w:val="Sraopastraipa"/>
              <w:numPr>
                <w:ilvl w:val="0"/>
                <w:numId w:val="41"/>
              </w:numPr>
              <w:ind w:left="0" w:firstLine="0"/>
              <w:rPr>
                <w:rFonts w:ascii="Times New Roman" w:hAnsi="Times New Roman" w:cs="Times New Roman"/>
                <w:b/>
                <w:sz w:val="24"/>
              </w:rPr>
            </w:pPr>
          </w:p>
        </w:tc>
        <w:tc>
          <w:tcPr>
            <w:tcW w:w="4467" w:type="pct"/>
            <w:gridSpan w:val="2"/>
            <w:shd w:val="clear" w:color="auto" w:fill="DDD9C3" w:themeFill="background2" w:themeFillShade="E6"/>
          </w:tcPr>
          <w:p w14:paraId="6F4764BF" w14:textId="77777777" w:rsidR="00B6077F" w:rsidRDefault="00B6077F" w:rsidP="00B6077F">
            <w:pPr>
              <w:jc w:val="center"/>
              <w:rPr>
                <w:rFonts w:ascii="Times New Roman" w:hAnsi="Times New Roman" w:cs="Times New Roman"/>
                <w:b/>
                <w:bCs/>
                <w:color w:val="000000"/>
                <w:sz w:val="24"/>
              </w:rPr>
            </w:pPr>
          </w:p>
          <w:p w14:paraId="20F0D339" w14:textId="77777777" w:rsidR="00B6077F" w:rsidRDefault="00B6077F" w:rsidP="00B6077F">
            <w:pPr>
              <w:rPr>
                <w:rFonts w:ascii="Times New Roman" w:hAnsi="Times New Roman" w:cs="Times New Roman"/>
                <w:b/>
                <w:bCs/>
                <w:color w:val="000000"/>
                <w:sz w:val="24"/>
              </w:rPr>
            </w:pPr>
            <w:r>
              <w:rPr>
                <w:rFonts w:ascii="Times New Roman" w:hAnsi="Times New Roman" w:cs="Times New Roman"/>
                <w:b/>
                <w:bCs/>
                <w:color w:val="000000"/>
                <w:sz w:val="24"/>
              </w:rPr>
              <w:t>Pakabinamas v</w:t>
            </w:r>
            <w:r w:rsidRPr="00523C35">
              <w:rPr>
                <w:rFonts w:ascii="Times New Roman" w:hAnsi="Times New Roman" w:cs="Times New Roman"/>
                <w:b/>
                <w:bCs/>
                <w:color w:val="000000"/>
                <w:sz w:val="24"/>
              </w:rPr>
              <w:t>alties varomasis variklis</w:t>
            </w:r>
            <w:r>
              <w:rPr>
                <w:rFonts w:ascii="Times New Roman" w:hAnsi="Times New Roman" w:cs="Times New Roman"/>
                <w:b/>
                <w:bCs/>
                <w:color w:val="000000"/>
                <w:sz w:val="24"/>
              </w:rPr>
              <w:t xml:space="preserve"> (toliau – variklis)</w:t>
            </w:r>
          </w:p>
          <w:p w14:paraId="51E3F178" w14:textId="77777777" w:rsidR="00B6077F" w:rsidRPr="00523C35" w:rsidRDefault="00B6077F" w:rsidP="00B6077F">
            <w:pPr>
              <w:jc w:val="center"/>
              <w:rPr>
                <w:rFonts w:ascii="Times New Roman" w:hAnsi="Times New Roman" w:cs="Times New Roman"/>
                <w:b/>
                <w:sz w:val="24"/>
              </w:rPr>
            </w:pPr>
          </w:p>
        </w:tc>
      </w:tr>
      <w:tr w:rsidR="00B6077F" w:rsidRPr="00DC153B" w14:paraId="201A822D" w14:textId="77777777" w:rsidTr="00283754">
        <w:tc>
          <w:tcPr>
            <w:tcW w:w="523" w:type="pct"/>
            <w:vAlign w:val="center"/>
          </w:tcPr>
          <w:p w14:paraId="702407D8" w14:textId="77777777" w:rsidR="00B6077F" w:rsidRPr="00DC153B" w:rsidRDefault="00B6077F" w:rsidP="00B6077F">
            <w:pPr>
              <w:pStyle w:val="Sraopastraipa"/>
              <w:ind w:left="0"/>
              <w:rPr>
                <w:rFonts w:ascii="Times New Roman" w:hAnsi="Times New Roman" w:cs="Times New Roman"/>
                <w:sz w:val="24"/>
              </w:rPr>
            </w:pPr>
            <w:r w:rsidRPr="00DC153B">
              <w:rPr>
                <w:rFonts w:ascii="Times New Roman" w:hAnsi="Times New Roman" w:cs="Times New Roman"/>
                <w:sz w:val="24"/>
              </w:rPr>
              <w:t>2.1.</w:t>
            </w:r>
          </w:p>
        </w:tc>
        <w:tc>
          <w:tcPr>
            <w:tcW w:w="1117" w:type="pct"/>
            <w:vAlign w:val="center"/>
          </w:tcPr>
          <w:p w14:paraId="314DCEC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Valtis komplektuojama s</w:t>
            </w:r>
            <w:r>
              <w:rPr>
                <w:rFonts w:ascii="Times New Roman" w:hAnsi="Times New Roman" w:cs="Times New Roman"/>
                <w:sz w:val="24"/>
              </w:rPr>
              <w:t>u</w:t>
            </w:r>
            <w:r w:rsidRPr="00DC153B">
              <w:rPr>
                <w:rFonts w:ascii="Times New Roman" w:hAnsi="Times New Roman" w:cs="Times New Roman"/>
                <w:sz w:val="24"/>
              </w:rPr>
              <w:t xml:space="preserve"> varikliu</w:t>
            </w:r>
          </w:p>
        </w:tc>
        <w:tc>
          <w:tcPr>
            <w:tcW w:w="3360" w:type="pct"/>
            <w:gridSpan w:val="2"/>
            <w:vAlign w:val="center"/>
          </w:tcPr>
          <w:p w14:paraId="11024B9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 xml:space="preserve">Kiekviena valtis komplektuojama su 1 (vienu) pakabinamu varikliu. </w:t>
            </w:r>
          </w:p>
        </w:tc>
      </w:tr>
      <w:tr w:rsidR="00B6077F" w:rsidRPr="00C2436D" w14:paraId="0F74ED20" w14:textId="77777777" w:rsidTr="00283754">
        <w:tc>
          <w:tcPr>
            <w:tcW w:w="523" w:type="pct"/>
            <w:vAlign w:val="center"/>
          </w:tcPr>
          <w:p w14:paraId="3400B32B"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2.2.</w:t>
            </w:r>
          </w:p>
        </w:tc>
        <w:tc>
          <w:tcPr>
            <w:tcW w:w="1117" w:type="pct"/>
            <w:vAlign w:val="center"/>
          </w:tcPr>
          <w:p w14:paraId="19E642A7"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w:t>
            </w:r>
          </w:p>
          <w:p w14:paraId="3197C5D4" w14:textId="77777777" w:rsidR="00B6077F" w:rsidRPr="00C2436D" w:rsidRDefault="00B6077F" w:rsidP="00B6077F">
            <w:pPr>
              <w:rPr>
                <w:rFonts w:ascii="Times New Roman" w:hAnsi="Times New Roman" w:cs="Times New Roman"/>
                <w:sz w:val="24"/>
              </w:rPr>
            </w:pPr>
          </w:p>
        </w:tc>
        <w:tc>
          <w:tcPr>
            <w:tcW w:w="3360" w:type="pct"/>
            <w:gridSpan w:val="2"/>
            <w:vAlign w:val="center"/>
          </w:tcPr>
          <w:p w14:paraId="268D2298"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 turi atitikti variklio pakabinimo įtaiso (</w:t>
            </w:r>
            <w:proofErr w:type="spellStart"/>
            <w:r w:rsidRPr="00C2436D">
              <w:rPr>
                <w:rFonts w:ascii="Times New Roman" w:hAnsi="Times New Roman" w:cs="Times New Roman"/>
                <w:sz w:val="24"/>
              </w:rPr>
              <w:t>tranco</w:t>
            </w:r>
            <w:proofErr w:type="spellEnd"/>
            <w:r w:rsidRPr="00C2436D">
              <w:rPr>
                <w:rFonts w:ascii="Times New Roman" w:hAnsi="Times New Roman" w:cs="Times New Roman"/>
                <w:sz w:val="24"/>
              </w:rPr>
              <w:t>) aukštį.</w:t>
            </w:r>
          </w:p>
        </w:tc>
      </w:tr>
      <w:tr w:rsidR="00B6077F" w:rsidRPr="00C2436D" w14:paraId="505BD44F" w14:textId="77777777" w:rsidTr="00283754">
        <w:trPr>
          <w:trHeight w:val="613"/>
        </w:trPr>
        <w:tc>
          <w:tcPr>
            <w:tcW w:w="523" w:type="pct"/>
            <w:vAlign w:val="center"/>
          </w:tcPr>
          <w:p w14:paraId="13B9982E"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2.3.</w:t>
            </w:r>
          </w:p>
        </w:tc>
        <w:tc>
          <w:tcPr>
            <w:tcW w:w="1117" w:type="pct"/>
            <w:vAlign w:val="center"/>
          </w:tcPr>
          <w:p w14:paraId="520FCEFD"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pavaros</w:t>
            </w:r>
          </w:p>
        </w:tc>
        <w:tc>
          <w:tcPr>
            <w:tcW w:w="3360" w:type="pct"/>
            <w:gridSpan w:val="2"/>
            <w:vAlign w:val="center"/>
          </w:tcPr>
          <w:p w14:paraId="4384952E"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Variklis turi turėti pavaras: Priekinė, neutrali, atbulinė.</w:t>
            </w:r>
          </w:p>
        </w:tc>
      </w:tr>
      <w:tr w:rsidR="00B6077F" w:rsidRPr="00FC3C1A" w14:paraId="402C3A55" w14:textId="77777777" w:rsidTr="00283754">
        <w:tc>
          <w:tcPr>
            <w:tcW w:w="523" w:type="pct"/>
            <w:vAlign w:val="center"/>
          </w:tcPr>
          <w:p w14:paraId="6DECC94A"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2.4.</w:t>
            </w:r>
          </w:p>
        </w:tc>
        <w:tc>
          <w:tcPr>
            <w:tcW w:w="1117" w:type="pct"/>
            <w:vAlign w:val="center"/>
          </w:tcPr>
          <w:p w14:paraId="2FF31FFC"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Variklio valdymas</w:t>
            </w:r>
          </w:p>
        </w:tc>
        <w:tc>
          <w:tcPr>
            <w:tcW w:w="3360" w:type="pct"/>
            <w:gridSpan w:val="2"/>
            <w:vAlign w:val="center"/>
          </w:tcPr>
          <w:p w14:paraId="1D1EC304"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Variklis turi būti valdomas vairalazde.</w:t>
            </w:r>
          </w:p>
        </w:tc>
      </w:tr>
      <w:tr w:rsidR="00B6077F" w:rsidRPr="00FC3C1A" w14:paraId="496DF155" w14:textId="77777777" w:rsidTr="00283754">
        <w:tc>
          <w:tcPr>
            <w:tcW w:w="523" w:type="pct"/>
            <w:vAlign w:val="center"/>
          </w:tcPr>
          <w:p w14:paraId="7BC6AC76"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2.5.</w:t>
            </w:r>
          </w:p>
        </w:tc>
        <w:tc>
          <w:tcPr>
            <w:tcW w:w="1117" w:type="pct"/>
            <w:vAlign w:val="center"/>
          </w:tcPr>
          <w:p w14:paraId="0FD3260D"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galia</w:t>
            </w:r>
          </w:p>
        </w:tc>
        <w:tc>
          <w:tcPr>
            <w:tcW w:w="3360" w:type="pct"/>
            <w:gridSpan w:val="2"/>
            <w:vAlign w:val="center"/>
          </w:tcPr>
          <w:p w14:paraId="32678BE0" w14:textId="5063D4CF" w:rsidR="00B6077F" w:rsidRDefault="00B6077F" w:rsidP="00B6077F">
            <w:pPr>
              <w:rPr>
                <w:rFonts w:ascii="Times New Roman" w:hAnsi="Times New Roman" w:cs="Times New Roman"/>
                <w:sz w:val="24"/>
              </w:rPr>
            </w:pPr>
            <w:r w:rsidRPr="005D72CE">
              <w:rPr>
                <w:rFonts w:ascii="Times New Roman" w:hAnsi="Times New Roman" w:cs="Times New Roman"/>
                <w:sz w:val="24"/>
              </w:rPr>
              <w:t>Ne mažiau kaip 11 kW.</w:t>
            </w:r>
          </w:p>
        </w:tc>
      </w:tr>
      <w:tr w:rsidR="00B6077F" w:rsidRPr="00FC3C1A" w14:paraId="4C5C92A8" w14:textId="77777777" w:rsidTr="00283754">
        <w:tc>
          <w:tcPr>
            <w:tcW w:w="523" w:type="pct"/>
            <w:vAlign w:val="center"/>
          </w:tcPr>
          <w:p w14:paraId="19D0255E"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2.6.</w:t>
            </w:r>
          </w:p>
        </w:tc>
        <w:tc>
          <w:tcPr>
            <w:tcW w:w="1117" w:type="pct"/>
            <w:vAlign w:val="center"/>
          </w:tcPr>
          <w:p w14:paraId="613658AB"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aušinimas</w:t>
            </w:r>
          </w:p>
        </w:tc>
        <w:tc>
          <w:tcPr>
            <w:tcW w:w="3360" w:type="pct"/>
            <w:gridSpan w:val="2"/>
            <w:vAlign w:val="center"/>
          </w:tcPr>
          <w:p w14:paraId="7CF489EF" w14:textId="77777777" w:rsidR="00B6077F" w:rsidRDefault="00B6077F" w:rsidP="00B6077F">
            <w:pPr>
              <w:rPr>
                <w:rFonts w:ascii="Times New Roman" w:hAnsi="Times New Roman" w:cs="Times New Roman"/>
                <w:sz w:val="24"/>
              </w:rPr>
            </w:pPr>
            <w:r>
              <w:rPr>
                <w:rFonts w:ascii="Times New Roman" w:hAnsi="Times New Roman" w:cs="Times New Roman"/>
                <w:sz w:val="24"/>
              </w:rPr>
              <w:t>Variklis turi būti aušinamas v</w:t>
            </w:r>
            <w:r w:rsidRPr="00317394">
              <w:rPr>
                <w:rFonts w:ascii="Times New Roman" w:hAnsi="Times New Roman" w:cs="Times New Roman"/>
                <w:sz w:val="24"/>
              </w:rPr>
              <w:t>andeniu.</w:t>
            </w:r>
          </w:p>
        </w:tc>
      </w:tr>
      <w:tr w:rsidR="00B6077F" w:rsidRPr="00FC3C1A" w14:paraId="43B28333" w14:textId="77777777" w:rsidTr="00283754">
        <w:tc>
          <w:tcPr>
            <w:tcW w:w="523" w:type="pct"/>
            <w:vAlign w:val="center"/>
          </w:tcPr>
          <w:p w14:paraId="63CE37F4" w14:textId="20E7D999"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w:t>
            </w:r>
            <w:r w:rsidR="008E0CA4">
              <w:rPr>
                <w:rFonts w:ascii="Times New Roman" w:hAnsi="Times New Roman" w:cs="Times New Roman"/>
                <w:sz w:val="24"/>
              </w:rPr>
              <w:t>7</w:t>
            </w:r>
            <w:r>
              <w:rPr>
                <w:rFonts w:ascii="Times New Roman" w:hAnsi="Times New Roman" w:cs="Times New Roman"/>
                <w:sz w:val="24"/>
              </w:rPr>
              <w:t>.</w:t>
            </w:r>
          </w:p>
        </w:tc>
        <w:tc>
          <w:tcPr>
            <w:tcW w:w="1117" w:type="pct"/>
            <w:vAlign w:val="center"/>
          </w:tcPr>
          <w:p w14:paraId="79458672" w14:textId="77777777" w:rsidR="00B6077F" w:rsidRPr="005D72CE" w:rsidRDefault="00B6077F" w:rsidP="00B6077F">
            <w:pPr>
              <w:rPr>
                <w:rFonts w:ascii="Times New Roman" w:hAnsi="Times New Roman" w:cs="Times New Roman"/>
                <w:sz w:val="24"/>
              </w:rPr>
            </w:pPr>
            <w:r w:rsidRPr="005D72CE">
              <w:rPr>
                <w:rFonts w:ascii="Times New Roman" w:hAnsi="Times New Roman" w:cs="Times New Roman"/>
                <w:sz w:val="24"/>
              </w:rPr>
              <w:t>Variklio kuro tipas</w:t>
            </w:r>
          </w:p>
        </w:tc>
        <w:tc>
          <w:tcPr>
            <w:tcW w:w="3360" w:type="pct"/>
            <w:gridSpan w:val="2"/>
            <w:vAlign w:val="center"/>
          </w:tcPr>
          <w:p w14:paraId="7B43B873" w14:textId="77777777" w:rsidR="00B6077F" w:rsidRPr="005D72CE" w:rsidRDefault="00B6077F" w:rsidP="00B6077F">
            <w:pPr>
              <w:rPr>
                <w:rFonts w:ascii="Times New Roman" w:hAnsi="Times New Roman" w:cs="Times New Roman"/>
                <w:sz w:val="24"/>
              </w:rPr>
            </w:pPr>
          </w:p>
          <w:p w14:paraId="7008097D" w14:textId="77777777" w:rsidR="00B6077F" w:rsidRPr="005D72CE" w:rsidRDefault="00B6077F" w:rsidP="00B6077F">
            <w:pPr>
              <w:rPr>
                <w:rFonts w:ascii="Times New Roman" w:hAnsi="Times New Roman" w:cs="Times New Roman"/>
                <w:sz w:val="24"/>
              </w:rPr>
            </w:pPr>
            <w:r w:rsidRPr="005D72CE">
              <w:rPr>
                <w:rFonts w:ascii="Times New Roman" w:hAnsi="Times New Roman" w:cs="Times New Roman"/>
                <w:sz w:val="24"/>
              </w:rPr>
              <w:t>Benzinas.</w:t>
            </w:r>
          </w:p>
          <w:p w14:paraId="7F60E808" w14:textId="77777777" w:rsidR="00B6077F" w:rsidRPr="005D72CE" w:rsidRDefault="00B6077F" w:rsidP="00B6077F">
            <w:pPr>
              <w:rPr>
                <w:rFonts w:ascii="Times New Roman" w:hAnsi="Times New Roman" w:cs="Times New Roman"/>
                <w:sz w:val="24"/>
              </w:rPr>
            </w:pPr>
          </w:p>
        </w:tc>
      </w:tr>
      <w:tr w:rsidR="00C16555" w:rsidRPr="00FC3C1A" w14:paraId="67B92C9C" w14:textId="77777777" w:rsidTr="00283754">
        <w:tc>
          <w:tcPr>
            <w:tcW w:w="523" w:type="pct"/>
            <w:vAlign w:val="center"/>
          </w:tcPr>
          <w:p w14:paraId="0AF63EF4" w14:textId="27C29072" w:rsidR="00C16555" w:rsidRPr="00EA0E99" w:rsidRDefault="00C16555" w:rsidP="00B6077F">
            <w:pPr>
              <w:pStyle w:val="Sraopastraipa"/>
              <w:ind w:left="0"/>
              <w:rPr>
                <w:rFonts w:ascii="Times New Roman" w:hAnsi="Times New Roman" w:cs="Times New Roman"/>
                <w:sz w:val="24"/>
              </w:rPr>
            </w:pPr>
            <w:r w:rsidRPr="00EA0E99">
              <w:rPr>
                <w:rFonts w:ascii="Times New Roman" w:hAnsi="Times New Roman" w:cs="Times New Roman"/>
                <w:sz w:val="24"/>
              </w:rPr>
              <w:t>2.8.</w:t>
            </w:r>
          </w:p>
        </w:tc>
        <w:tc>
          <w:tcPr>
            <w:tcW w:w="1117" w:type="pct"/>
            <w:vAlign w:val="center"/>
          </w:tcPr>
          <w:p w14:paraId="23D9BF07" w14:textId="554F9F79" w:rsidR="00C16555" w:rsidRPr="00EA0E99" w:rsidRDefault="00C16555" w:rsidP="00B6077F">
            <w:pPr>
              <w:rPr>
                <w:rFonts w:ascii="Times New Roman" w:hAnsi="Times New Roman" w:cs="Times New Roman"/>
                <w:bCs/>
                <w:sz w:val="24"/>
              </w:rPr>
            </w:pPr>
            <w:r w:rsidRPr="00EA0E99">
              <w:rPr>
                <w:rFonts w:ascii="Times New Roman" w:hAnsi="Times New Roman" w:cs="Times New Roman"/>
                <w:bCs/>
                <w:sz w:val="24"/>
              </w:rPr>
              <w:t>Variklio kuro bakas</w:t>
            </w:r>
          </w:p>
        </w:tc>
        <w:tc>
          <w:tcPr>
            <w:tcW w:w="3360" w:type="pct"/>
            <w:gridSpan w:val="2"/>
            <w:vAlign w:val="center"/>
          </w:tcPr>
          <w:p w14:paraId="738245B5" w14:textId="0A1A8A6C" w:rsidR="00C16555" w:rsidRDefault="00C16555" w:rsidP="00B6077F">
            <w:pPr>
              <w:rPr>
                <w:rFonts w:ascii="Times New Roman" w:hAnsi="Times New Roman" w:cs="Times New Roman"/>
                <w:sz w:val="24"/>
              </w:rPr>
            </w:pPr>
            <w:r w:rsidRPr="00EA0E99">
              <w:rPr>
                <w:rFonts w:ascii="Times New Roman" w:hAnsi="Times New Roman" w:cs="Times New Roman"/>
                <w:sz w:val="24"/>
              </w:rPr>
              <w:t>Pakabinamas valties varomasis variklis turi turėti ne mažiau kaip 10 litrų talpos kuro baką ir kuro bako prijungimo komplektą. Kuro bako prijungimo komplektas turi būti tinkamas tiekti kurą iš minėto kuro bako į siūlomą variklį.</w:t>
            </w:r>
          </w:p>
        </w:tc>
      </w:tr>
      <w:tr w:rsidR="00B6077F" w:rsidRPr="00FC3C1A" w14:paraId="19BC523D" w14:textId="77777777" w:rsidTr="00283754">
        <w:tc>
          <w:tcPr>
            <w:tcW w:w="523" w:type="pct"/>
            <w:vAlign w:val="center"/>
          </w:tcPr>
          <w:p w14:paraId="2B439EB4" w14:textId="39359F73"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w:t>
            </w:r>
            <w:r w:rsidR="00C16555">
              <w:rPr>
                <w:rFonts w:ascii="Times New Roman" w:hAnsi="Times New Roman" w:cs="Times New Roman"/>
                <w:sz w:val="24"/>
              </w:rPr>
              <w:t>9</w:t>
            </w:r>
            <w:r>
              <w:rPr>
                <w:rFonts w:ascii="Times New Roman" w:hAnsi="Times New Roman" w:cs="Times New Roman"/>
                <w:sz w:val="24"/>
              </w:rPr>
              <w:t>.</w:t>
            </w:r>
          </w:p>
        </w:tc>
        <w:tc>
          <w:tcPr>
            <w:tcW w:w="1117" w:type="pct"/>
            <w:vAlign w:val="center"/>
          </w:tcPr>
          <w:p w14:paraId="5C2C2FDD"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bCs/>
                <w:sz w:val="24"/>
              </w:rPr>
              <w:t>Aplinkos apsaugos kriterijų taikymas</w:t>
            </w:r>
          </w:p>
        </w:tc>
        <w:tc>
          <w:tcPr>
            <w:tcW w:w="3360" w:type="pct"/>
            <w:gridSpan w:val="2"/>
            <w:vAlign w:val="center"/>
          </w:tcPr>
          <w:p w14:paraId="031E4869" w14:textId="12DB7AB2" w:rsidR="00B6077F" w:rsidRPr="00C30C24" w:rsidRDefault="00B6077F" w:rsidP="00B6077F">
            <w:pPr>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r w:rsidR="006713A7">
              <w:rPr>
                <w:rFonts w:ascii="Times New Roman" w:hAnsi="Times New Roman" w:cs="Times New Roman"/>
                <w:sz w:val="24"/>
              </w:rPr>
              <w:t xml:space="preserve"> </w:t>
            </w:r>
            <w:r w:rsidRPr="00C30C24">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C30C24">
              <w:rPr>
                <w:rFonts w:ascii="Times New Roman" w:hAnsi="Times New Roman" w:cs="Times New Roman"/>
                <w:sz w:val="24"/>
              </w:rPr>
              <w:t>patvirtinto Aplinkos apsaugos kriterijų taikymo, vykdant žaliuosius pirkimus, tvarkos aprašo 4.4.4.5. p.</w:t>
            </w:r>
          </w:p>
          <w:p w14:paraId="31605A15" w14:textId="77777777" w:rsidR="006713A7" w:rsidRDefault="006713A7" w:rsidP="00B6077F">
            <w:pPr>
              <w:rPr>
                <w:rFonts w:ascii="Times New Roman" w:hAnsi="Times New Roman" w:cs="Times New Roman"/>
                <w:sz w:val="24"/>
              </w:rPr>
            </w:pPr>
          </w:p>
          <w:p w14:paraId="3BCC9BBE" w14:textId="08FEC88C" w:rsidR="00B6077F" w:rsidRDefault="00B6077F" w:rsidP="00B6077F">
            <w:pPr>
              <w:rPr>
                <w:rFonts w:ascii="Times New Roman" w:hAnsi="Times New Roman" w:cs="Times New Roman"/>
                <w:sz w:val="24"/>
              </w:rPr>
            </w:pPr>
            <w:r w:rsidRPr="00C30C24">
              <w:rPr>
                <w:rFonts w:ascii="Times New Roman" w:hAnsi="Times New Roman" w:cs="Times New Roman"/>
                <w:sz w:val="24"/>
              </w:rPr>
              <w:t>Varikliai ir jų sudedamosios detalės tapę nebetinkamais naudoti turi būti tinkami perdirbti.</w:t>
            </w:r>
          </w:p>
          <w:p w14:paraId="337F9953" w14:textId="77777777" w:rsidR="00B6077F" w:rsidRDefault="00B6077F" w:rsidP="00B6077F">
            <w:pPr>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4129D2B4" w14:textId="77777777" w:rsidR="00B6077F" w:rsidRDefault="00B6077F" w:rsidP="00B6077F">
            <w:pPr>
              <w:rPr>
                <w:rFonts w:ascii="Times New Roman" w:hAnsi="Times New Roman" w:cs="Times New Roman"/>
                <w:sz w:val="24"/>
              </w:rPr>
            </w:pPr>
          </w:p>
          <w:p w14:paraId="7C851D27" w14:textId="77777777" w:rsidR="00B6077F" w:rsidRPr="00C30C24" w:rsidRDefault="00B6077F" w:rsidP="00B6077F">
            <w:pPr>
              <w:rPr>
                <w:rFonts w:ascii="Times New Roman" w:hAnsi="Times New Roman" w:cs="Times New Roman"/>
                <w:sz w:val="24"/>
              </w:rPr>
            </w:pPr>
          </w:p>
        </w:tc>
      </w:tr>
      <w:tr w:rsidR="00B6077F" w:rsidRPr="00FC3C1A" w14:paraId="3BC5EA39" w14:textId="77777777" w:rsidTr="00283754">
        <w:trPr>
          <w:gridAfter w:val="1"/>
          <w:wAfter w:w="10" w:type="pct"/>
        </w:trPr>
        <w:tc>
          <w:tcPr>
            <w:tcW w:w="523" w:type="pct"/>
            <w:shd w:val="clear" w:color="auto" w:fill="DDD9C3" w:themeFill="background2" w:themeFillShade="E6"/>
            <w:vAlign w:val="center"/>
          </w:tcPr>
          <w:p w14:paraId="68ABA561" w14:textId="77777777" w:rsidR="00B6077F" w:rsidRPr="00CD1E99" w:rsidRDefault="00B6077F" w:rsidP="00B6077F">
            <w:pPr>
              <w:rPr>
                <w:rFonts w:ascii="Times New Roman" w:hAnsi="Times New Roman" w:cs="Times New Roman"/>
                <w:b/>
                <w:sz w:val="24"/>
              </w:rPr>
            </w:pPr>
            <w:r>
              <w:rPr>
                <w:rFonts w:ascii="Times New Roman" w:hAnsi="Times New Roman" w:cs="Times New Roman"/>
                <w:b/>
                <w:sz w:val="24"/>
              </w:rPr>
              <w:t>3.</w:t>
            </w:r>
          </w:p>
        </w:tc>
        <w:tc>
          <w:tcPr>
            <w:tcW w:w="4467" w:type="pct"/>
            <w:gridSpan w:val="2"/>
            <w:shd w:val="clear" w:color="auto" w:fill="DDD9C3" w:themeFill="background2" w:themeFillShade="E6"/>
            <w:vAlign w:val="center"/>
          </w:tcPr>
          <w:p w14:paraId="1BF4756C" w14:textId="77777777" w:rsidR="00B6077F" w:rsidRDefault="00B6077F" w:rsidP="00B6077F">
            <w:pPr>
              <w:jc w:val="center"/>
              <w:rPr>
                <w:rFonts w:ascii="Times New Roman" w:hAnsi="Times New Roman" w:cs="Times New Roman"/>
                <w:b/>
                <w:bCs/>
              </w:rPr>
            </w:pPr>
          </w:p>
          <w:p w14:paraId="0C497B64" w14:textId="77777777" w:rsidR="00B6077F" w:rsidRPr="00CD1E99" w:rsidRDefault="00B6077F" w:rsidP="00B6077F">
            <w:pPr>
              <w:rPr>
                <w:rFonts w:ascii="Times New Roman" w:hAnsi="Times New Roman" w:cs="Times New Roman"/>
                <w:b/>
                <w:bCs/>
                <w:sz w:val="24"/>
              </w:rPr>
            </w:pPr>
            <w:r>
              <w:rPr>
                <w:rFonts w:ascii="Times New Roman" w:hAnsi="Times New Roman" w:cs="Times New Roman"/>
                <w:b/>
                <w:bCs/>
                <w:sz w:val="24"/>
              </w:rPr>
              <w:t>A</w:t>
            </w:r>
            <w:r w:rsidRPr="00CD1E99">
              <w:rPr>
                <w:rFonts w:ascii="Times New Roman" w:hAnsi="Times New Roman" w:cs="Times New Roman"/>
                <w:b/>
                <w:bCs/>
                <w:sz w:val="24"/>
              </w:rPr>
              <w:t>utomobilinė valties transportavimo priekaba</w:t>
            </w:r>
            <w:r>
              <w:rPr>
                <w:rFonts w:ascii="Times New Roman" w:hAnsi="Times New Roman" w:cs="Times New Roman"/>
                <w:b/>
                <w:bCs/>
                <w:sz w:val="24"/>
              </w:rPr>
              <w:t xml:space="preserve"> (toliau – priekaba arba valties transportavimo priekaba)</w:t>
            </w:r>
          </w:p>
          <w:p w14:paraId="7A0F65EB" w14:textId="77777777" w:rsidR="00B6077F" w:rsidRPr="00D93852" w:rsidRDefault="00B6077F" w:rsidP="00B6077F">
            <w:pPr>
              <w:jc w:val="center"/>
              <w:rPr>
                <w:rFonts w:ascii="Times New Roman" w:hAnsi="Times New Roman" w:cs="Times New Roman"/>
                <w:b/>
                <w:bCs/>
              </w:rPr>
            </w:pPr>
          </w:p>
        </w:tc>
      </w:tr>
      <w:tr w:rsidR="00B6077F" w:rsidRPr="00FC3C1A" w14:paraId="46792608" w14:textId="77777777" w:rsidTr="00283754">
        <w:tc>
          <w:tcPr>
            <w:tcW w:w="523" w:type="pct"/>
            <w:vAlign w:val="center"/>
          </w:tcPr>
          <w:p w14:paraId="32B75E4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3.1.</w:t>
            </w:r>
          </w:p>
        </w:tc>
        <w:tc>
          <w:tcPr>
            <w:tcW w:w="1117" w:type="pct"/>
            <w:vAlign w:val="center"/>
          </w:tcPr>
          <w:p w14:paraId="3FA9A8C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 xml:space="preserve">Valtis komplektuojama su </w:t>
            </w:r>
            <w:r w:rsidRPr="00317394">
              <w:rPr>
                <w:rFonts w:ascii="Times New Roman" w:hAnsi="Times New Roman" w:cs="Times New Roman"/>
                <w:sz w:val="24"/>
              </w:rPr>
              <w:lastRenderedPageBreak/>
              <w:t>transportavimo priekaba</w:t>
            </w:r>
          </w:p>
        </w:tc>
        <w:tc>
          <w:tcPr>
            <w:tcW w:w="3360" w:type="pct"/>
            <w:gridSpan w:val="2"/>
            <w:vAlign w:val="center"/>
          </w:tcPr>
          <w:p w14:paraId="6ABBECD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lastRenderedPageBreak/>
              <w:t>Kiekviena valtis komplektuojama su 1 (viena) valties transportavimo priekaba</w:t>
            </w:r>
            <w:r>
              <w:rPr>
                <w:rFonts w:ascii="Times New Roman" w:hAnsi="Times New Roman" w:cs="Times New Roman"/>
                <w:sz w:val="24"/>
              </w:rPr>
              <w:t xml:space="preserve">. </w:t>
            </w:r>
          </w:p>
        </w:tc>
      </w:tr>
      <w:tr w:rsidR="00B6077F" w:rsidRPr="00FC3C1A" w14:paraId="0CE47D5A" w14:textId="77777777" w:rsidTr="00283754">
        <w:tc>
          <w:tcPr>
            <w:tcW w:w="523" w:type="pct"/>
            <w:vAlign w:val="center"/>
          </w:tcPr>
          <w:p w14:paraId="30B4D068"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3.2.</w:t>
            </w:r>
          </w:p>
        </w:tc>
        <w:tc>
          <w:tcPr>
            <w:tcW w:w="1117" w:type="pct"/>
            <w:vAlign w:val="center"/>
          </w:tcPr>
          <w:p w14:paraId="23ABF4E8"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transportavimo priekaba</w:t>
            </w:r>
          </w:p>
        </w:tc>
        <w:tc>
          <w:tcPr>
            <w:tcW w:w="3360" w:type="pct"/>
            <w:gridSpan w:val="2"/>
            <w:vAlign w:val="center"/>
          </w:tcPr>
          <w:p w14:paraId="16DF3AEE"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nauja, pritaikyta pagal išmatavimus, konstrukciją ir svorį gabenti šioje techninėje specifikacijoje nurodytas</w:t>
            </w:r>
            <w:r>
              <w:rPr>
                <w:rFonts w:ascii="Times New Roman" w:hAnsi="Times New Roman" w:cs="Times New Roman"/>
                <w:color w:val="000000"/>
                <w:sz w:val="24"/>
              </w:rPr>
              <w:t xml:space="preserve"> </w:t>
            </w:r>
            <w:r w:rsidRPr="0050380D">
              <w:rPr>
                <w:rFonts w:ascii="Times New Roman" w:hAnsi="Times New Roman" w:cs="Times New Roman"/>
                <w:color w:val="000000"/>
                <w:sz w:val="24"/>
              </w:rPr>
              <w:t>ir tiekėjo siūlomas</w:t>
            </w:r>
            <w:r w:rsidRPr="00317394">
              <w:rPr>
                <w:rFonts w:ascii="Times New Roman" w:hAnsi="Times New Roman" w:cs="Times New Roman"/>
                <w:color w:val="000000"/>
                <w:sz w:val="24"/>
              </w:rPr>
              <w:t xml:space="preserve"> valtis. </w:t>
            </w:r>
          </w:p>
        </w:tc>
      </w:tr>
      <w:tr w:rsidR="00B6077F" w:rsidRPr="00FC3C1A" w14:paraId="2853D8C3" w14:textId="77777777" w:rsidTr="00283754">
        <w:tc>
          <w:tcPr>
            <w:tcW w:w="523" w:type="pct"/>
            <w:vAlign w:val="center"/>
          </w:tcPr>
          <w:p w14:paraId="34A9A4B6"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3.3.</w:t>
            </w:r>
          </w:p>
        </w:tc>
        <w:tc>
          <w:tcPr>
            <w:tcW w:w="1117" w:type="pct"/>
            <w:vAlign w:val="center"/>
          </w:tcPr>
          <w:p w14:paraId="6B20AABD"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Registravimas</w:t>
            </w:r>
          </w:p>
        </w:tc>
        <w:tc>
          <w:tcPr>
            <w:tcW w:w="3360" w:type="pct"/>
            <w:gridSpan w:val="2"/>
            <w:vAlign w:val="center"/>
          </w:tcPr>
          <w:p w14:paraId="5F42FF95"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Iki perdavimo pirkėjui, nustatyta tvarka, tiekėjas priekabą turi užregistruoti pirkėjo vardu Lietuvos Respublikos keli</w:t>
            </w:r>
            <w:r>
              <w:rPr>
                <w:rFonts w:ascii="Times New Roman" w:hAnsi="Times New Roman" w:cs="Times New Roman"/>
                <w:sz w:val="24"/>
              </w:rPr>
              <w:t>ų transporto priemonių registre.</w:t>
            </w:r>
          </w:p>
        </w:tc>
      </w:tr>
      <w:tr w:rsidR="00B6077F" w:rsidRPr="00FC3C1A" w14:paraId="522D2F8B" w14:textId="77777777" w:rsidTr="00283754">
        <w:tc>
          <w:tcPr>
            <w:tcW w:w="523" w:type="pct"/>
            <w:vAlign w:val="center"/>
          </w:tcPr>
          <w:p w14:paraId="33AF7E51" w14:textId="77777777" w:rsidR="00B6077F" w:rsidRPr="00FE07F0" w:rsidRDefault="00B6077F" w:rsidP="00B6077F">
            <w:pPr>
              <w:pStyle w:val="Sraopastraipa"/>
              <w:ind w:left="0"/>
              <w:rPr>
                <w:rFonts w:ascii="Times New Roman" w:hAnsi="Times New Roman" w:cs="Times New Roman"/>
                <w:color w:val="FF0000"/>
                <w:sz w:val="24"/>
              </w:rPr>
            </w:pPr>
            <w:r>
              <w:rPr>
                <w:rFonts w:ascii="Times New Roman" w:hAnsi="Times New Roman" w:cs="Times New Roman"/>
                <w:sz w:val="24"/>
              </w:rPr>
              <w:t>3.4.</w:t>
            </w:r>
          </w:p>
        </w:tc>
        <w:tc>
          <w:tcPr>
            <w:tcW w:w="1117" w:type="pct"/>
            <w:vAlign w:val="center"/>
          </w:tcPr>
          <w:p w14:paraId="6E8DBC3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Priekabos sukabinimo įtaisas.</w:t>
            </w:r>
          </w:p>
        </w:tc>
        <w:tc>
          <w:tcPr>
            <w:tcW w:w="3360" w:type="pct"/>
            <w:gridSpan w:val="2"/>
            <w:vAlign w:val="center"/>
          </w:tcPr>
          <w:p w14:paraId="4E7AA58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 xml:space="preserve">Priekabos ir automobilio sukabinimo įtaisas – tinkamas eksploatuoti su M1 klasės transporto priemonėmis. Turi būti elektros jungtys, skirtos prijungti priekabos apšvietimo sistemą prie M1 klasės transporto priemonės.  </w:t>
            </w:r>
          </w:p>
        </w:tc>
      </w:tr>
      <w:tr w:rsidR="00B6077F" w:rsidRPr="00FC3C1A" w14:paraId="1707CB5F" w14:textId="77777777" w:rsidTr="00283754">
        <w:tc>
          <w:tcPr>
            <w:tcW w:w="523" w:type="pct"/>
            <w:vAlign w:val="center"/>
          </w:tcPr>
          <w:p w14:paraId="2A85B8DF"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3.5.</w:t>
            </w:r>
          </w:p>
        </w:tc>
        <w:tc>
          <w:tcPr>
            <w:tcW w:w="1117" w:type="pct"/>
            <w:vAlign w:val="center"/>
          </w:tcPr>
          <w:p w14:paraId="67120087"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pakrovimo įranga</w:t>
            </w:r>
          </w:p>
        </w:tc>
        <w:tc>
          <w:tcPr>
            <w:tcW w:w="3360" w:type="pct"/>
            <w:gridSpan w:val="2"/>
            <w:vAlign w:val="center"/>
          </w:tcPr>
          <w:p w14:paraId="38AB19C1"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lyninė gervė ir jos stovas, kurių pagalba būtų galima valtį užtempti ant priekabos.</w:t>
            </w:r>
          </w:p>
        </w:tc>
      </w:tr>
      <w:tr w:rsidR="00B6077F" w:rsidRPr="00746C15" w14:paraId="6CA73F26" w14:textId="77777777" w:rsidTr="00283754">
        <w:tc>
          <w:tcPr>
            <w:tcW w:w="523" w:type="pct"/>
            <w:vAlign w:val="center"/>
          </w:tcPr>
          <w:p w14:paraId="2111AF37"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3.6.</w:t>
            </w:r>
          </w:p>
        </w:tc>
        <w:tc>
          <w:tcPr>
            <w:tcW w:w="1117" w:type="pct"/>
          </w:tcPr>
          <w:p w14:paraId="3E7B9132"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atrama</w:t>
            </w:r>
          </w:p>
        </w:tc>
        <w:tc>
          <w:tcPr>
            <w:tcW w:w="3360" w:type="pct"/>
            <w:gridSpan w:val="2"/>
            <w:vAlign w:val="center"/>
          </w:tcPr>
          <w:p w14:paraId="257DF831"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Priekaba turi turėti atraminį ratuką.</w:t>
            </w:r>
          </w:p>
        </w:tc>
      </w:tr>
      <w:tr w:rsidR="00B6077F" w:rsidRPr="00746C15" w14:paraId="469F75DC" w14:textId="77777777" w:rsidTr="00283754">
        <w:tc>
          <w:tcPr>
            <w:tcW w:w="523" w:type="pct"/>
            <w:vAlign w:val="center"/>
          </w:tcPr>
          <w:p w14:paraId="672E7C5B"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3.7.</w:t>
            </w:r>
          </w:p>
        </w:tc>
        <w:tc>
          <w:tcPr>
            <w:tcW w:w="1117" w:type="pct"/>
          </w:tcPr>
          <w:p w14:paraId="7D658A1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ratai</w:t>
            </w:r>
          </w:p>
        </w:tc>
        <w:tc>
          <w:tcPr>
            <w:tcW w:w="3360" w:type="pct"/>
            <w:gridSpan w:val="2"/>
            <w:vAlign w:val="center"/>
          </w:tcPr>
          <w:p w14:paraId="3B6FAF28" w14:textId="2E521381" w:rsidR="00B6077F" w:rsidRPr="00746C15" w:rsidRDefault="00B6077F" w:rsidP="00B6077F">
            <w:pPr>
              <w:rPr>
                <w:rFonts w:ascii="Times New Roman" w:hAnsi="Times New Roman" w:cs="Times New Roman"/>
                <w:sz w:val="24"/>
              </w:rPr>
            </w:pPr>
            <w:r w:rsidRPr="005D72CE">
              <w:rPr>
                <w:rFonts w:ascii="Times New Roman" w:hAnsi="Times New Roman" w:cs="Times New Roman"/>
                <w:sz w:val="24"/>
              </w:rPr>
              <w:t>Priekaba turi būti su ne mažesniais kaip R13 diametro ratais  su padangomis</w:t>
            </w:r>
            <w:r w:rsidR="00612BE3" w:rsidRPr="005D72CE">
              <w:rPr>
                <w:rFonts w:ascii="Times New Roman" w:hAnsi="Times New Roman" w:cs="Times New Roman"/>
                <w:sz w:val="24"/>
              </w:rPr>
              <w:t xml:space="preserve"> skirtomis važiuoti žiemą</w:t>
            </w:r>
            <w:r w:rsidRPr="005D72CE">
              <w:rPr>
                <w:rFonts w:ascii="Times New Roman" w:hAnsi="Times New Roman" w:cs="Times New Roman"/>
                <w:sz w:val="24"/>
              </w:rPr>
              <w:t>.</w:t>
            </w:r>
          </w:p>
        </w:tc>
      </w:tr>
      <w:tr w:rsidR="00B6077F" w:rsidRPr="00746C15" w14:paraId="1006D7CA" w14:textId="77777777" w:rsidTr="00283754">
        <w:tc>
          <w:tcPr>
            <w:tcW w:w="523" w:type="pct"/>
            <w:vAlign w:val="center"/>
          </w:tcPr>
          <w:p w14:paraId="6E795B13"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3.8.</w:t>
            </w:r>
          </w:p>
        </w:tc>
        <w:tc>
          <w:tcPr>
            <w:tcW w:w="1117" w:type="pct"/>
          </w:tcPr>
          <w:p w14:paraId="40A7E62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w:t>
            </w:r>
          </w:p>
        </w:tc>
        <w:tc>
          <w:tcPr>
            <w:tcW w:w="3360" w:type="pct"/>
            <w:gridSpan w:val="2"/>
            <w:vAlign w:val="center"/>
          </w:tcPr>
          <w:p w14:paraId="043568EC"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 turi būti su lingine amortizacija.</w:t>
            </w:r>
          </w:p>
        </w:tc>
      </w:tr>
      <w:tr w:rsidR="00B6077F" w:rsidRPr="00FC3C1A" w14:paraId="194C670B" w14:textId="77777777" w:rsidTr="00283754">
        <w:tc>
          <w:tcPr>
            <w:tcW w:w="523" w:type="pct"/>
            <w:vAlign w:val="center"/>
          </w:tcPr>
          <w:p w14:paraId="719120B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3.9.</w:t>
            </w:r>
          </w:p>
        </w:tc>
        <w:tc>
          <w:tcPr>
            <w:tcW w:w="1117" w:type="pct"/>
            <w:vAlign w:val="center"/>
          </w:tcPr>
          <w:p w14:paraId="67A21A59" w14:textId="77777777" w:rsidR="00B6077F" w:rsidRDefault="00B6077F" w:rsidP="00B6077F">
            <w:pPr>
              <w:rPr>
                <w:rFonts w:ascii="Times New Roman" w:hAnsi="Times New Roman" w:cs="Times New Roman"/>
              </w:rPr>
            </w:pPr>
            <w:r w:rsidRPr="00C30C24">
              <w:rPr>
                <w:rFonts w:ascii="Times New Roman" w:hAnsi="Times New Roman" w:cs="Times New Roman"/>
                <w:bCs/>
                <w:sz w:val="24"/>
              </w:rPr>
              <w:t>Aplinkos apsaugos kriterijų taikymas</w:t>
            </w:r>
          </w:p>
        </w:tc>
        <w:tc>
          <w:tcPr>
            <w:tcW w:w="3360" w:type="pct"/>
            <w:gridSpan w:val="2"/>
            <w:vAlign w:val="center"/>
          </w:tcPr>
          <w:p w14:paraId="311CDE5E" w14:textId="77777777" w:rsidR="006713A7" w:rsidRDefault="00B6077F" w:rsidP="00B6077F">
            <w:pPr>
              <w:jc w:val="both"/>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r w:rsidR="006713A7">
              <w:rPr>
                <w:rFonts w:ascii="Times New Roman" w:hAnsi="Times New Roman" w:cs="Times New Roman"/>
                <w:sz w:val="24"/>
              </w:rPr>
              <w:t xml:space="preserve"> </w:t>
            </w:r>
            <w:r w:rsidRPr="00C30C24">
              <w:rPr>
                <w:rFonts w:ascii="Times New Roman" w:hAnsi="Times New Roman" w:cs="Times New Roman"/>
                <w:sz w:val="24"/>
              </w:rPr>
              <w:t>2022 m. gruodžio 13 d. įsakymu Nr. D1-401</w:t>
            </w:r>
            <w:r w:rsidR="006713A7">
              <w:rPr>
                <w:rFonts w:ascii="Times New Roman" w:hAnsi="Times New Roman" w:cs="Times New Roman"/>
                <w:sz w:val="24"/>
              </w:rPr>
              <w:t xml:space="preserve"> </w:t>
            </w:r>
            <w:r w:rsidRPr="00C30C24">
              <w:rPr>
                <w:rFonts w:ascii="Times New Roman" w:hAnsi="Times New Roman" w:cs="Times New Roman"/>
                <w:sz w:val="24"/>
              </w:rPr>
              <w:t>patvirtinto Aplinkos apsaugos kriterijų taikymo, vykdant žaliuosius pirkimus, tvarkos aprašo 4.4.4.5. p</w:t>
            </w:r>
            <w:r>
              <w:rPr>
                <w:rFonts w:ascii="Times New Roman" w:hAnsi="Times New Roman" w:cs="Times New Roman"/>
                <w:sz w:val="24"/>
              </w:rPr>
              <w:t xml:space="preserve">. </w:t>
            </w:r>
          </w:p>
          <w:p w14:paraId="74876245" w14:textId="77777777" w:rsidR="006713A7" w:rsidRDefault="006713A7" w:rsidP="00B6077F">
            <w:pPr>
              <w:jc w:val="both"/>
              <w:rPr>
                <w:rFonts w:ascii="Times New Roman" w:hAnsi="Times New Roman" w:cs="Times New Roman"/>
                <w:sz w:val="24"/>
              </w:rPr>
            </w:pPr>
          </w:p>
          <w:p w14:paraId="10E0908F" w14:textId="3B8B92B1" w:rsidR="00B6077F" w:rsidRDefault="00B6077F" w:rsidP="00B6077F">
            <w:pPr>
              <w:jc w:val="both"/>
              <w:rPr>
                <w:rFonts w:ascii="Times New Roman" w:hAnsi="Times New Roman" w:cs="Times New Roman"/>
                <w:sz w:val="24"/>
              </w:rPr>
            </w:pPr>
            <w:r>
              <w:rPr>
                <w:rFonts w:ascii="Times New Roman" w:hAnsi="Times New Roman" w:cs="Times New Roman"/>
                <w:sz w:val="24"/>
              </w:rPr>
              <w:t>Priekabos</w:t>
            </w:r>
            <w:r w:rsidRPr="00C30C24">
              <w:rPr>
                <w:rFonts w:ascii="Times New Roman" w:hAnsi="Times New Roman" w:cs="Times New Roman"/>
                <w:sz w:val="24"/>
              </w:rPr>
              <w:t xml:space="preserve"> ir jų sudedamosios detalės tapę nebetinkamais naudoti turi būti tinkami perdirbti.</w:t>
            </w:r>
          </w:p>
          <w:p w14:paraId="12167BFE" w14:textId="77777777" w:rsidR="00B6077F" w:rsidRDefault="00B6077F" w:rsidP="00B6077F">
            <w:pPr>
              <w:jc w:val="both"/>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039F820A" w14:textId="77777777" w:rsidR="00B6077F" w:rsidRDefault="00B6077F" w:rsidP="00B6077F">
            <w:pPr>
              <w:jc w:val="both"/>
              <w:rPr>
                <w:rFonts w:ascii="Times New Roman" w:hAnsi="Times New Roman" w:cs="Times New Roman"/>
              </w:rPr>
            </w:pPr>
          </w:p>
        </w:tc>
      </w:tr>
      <w:tr w:rsidR="00B6077F" w:rsidRPr="00FC3C1A" w14:paraId="45EA5C81" w14:textId="77777777" w:rsidTr="00283754">
        <w:trPr>
          <w:gridAfter w:val="1"/>
          <w:wAfter w:w="10" w:type="pct"/>
        </w:trPr>
        <w:tc>
          <w:tcPr>
            <w:tcW w:w="523" w:type="pct"/>
            <w:shd w:val="clear" w:color="auto" w:fill="DDD9C3" w:themeFill="background2" w:themeFillShade="E6"/>
            <w:vAlign w:val="center"/>
          </w:tcPr>
          <w:p w14:paraId="2319C752" w14:textId="77777777" w:rsidR="00B6077F" w:rsidRPr="009576A8" w:rsidRDefault="00B6077F" w:rsidP="00B6077F">
            <w:pPr>
              <w:pStyle w:val="Sraopastraipa"/>
              <w:ind w:left="0"/>
              <w:rPr>
                <w:rFonts w:ascii="Times New Roman" w:hAnsi="Times New Roman" w:cs="Times New Roman"/>
                <w:sz w:val="24"/>
              </w:rPr>
            </w:pPr>
            <w:r>
              <w:rPr>
                <w:rFonts w:ascii="Times New Roman" w:hAnsi="Times New Roman" w:cs="Times New Roman"/>
                <w:sz w:val="24"/>
              </w:rPr>
              <w:t>4.</w:t>
            </w:r>
          </w:p>
        </w:tc>
        <w:tc>
          <w:tcPr>
            <w:tcW w:w="4467" w:type="pct"/>
            <w:gridSpan w:val="2"/>
            <w:shd w:val="clear" w:color="auto" w:fill="DDD9C3" w:themeFill="background2" w:themeFillShade="E6"/>
            <w:vAlign w:val="center"/>
          </w:tcPr>
          <w:p w14:paraId="2F0062B7" w14:textId="77777777" w:rsidR="00B6077F" w:rsidRDefault="00B6077F" w:rsidP="00B6077F">
            <w:pPr>
              <w:jc w:val="center"/>
              <w:rPr>
                <w:rFonts w:ascii="Times New Roman" w:hAnsi="Times New Roman" w:cs="Times New Roman"/>
                <w:b/>
                <w:sz w:val="24"/>
              </w:rPr>
            </w:pPr>
          </w:p>
          <w:p w14:paraId="3CD7DCB9" w14:textId="77777777" w:rsidR="00B6077F" w:rsidRDefault="00B6077F" w:rsidP="00B6077F">
            <w:pPr>
              <w:rPr>
                <w:rFonts w:ascii="Times New Roman" w:hAnsi="Times New Roman" w:cs="Times New Roman"/>
                <w:b/>
                <w:sz w:val="24"/>
              </w:rPr>
            </w:pPr>
            <w:r w:rsidRPr="00000C80">
              <w:rPr>
                <w:rFonts w:ascii="Times New Roman" w:hAnsi="Times New Roman" w:cs="Times New Roman"/>
                <w:b/>
                <w:sz w:val="24"/>
              </w:rPr>
              <w:t>Kiti reikalavimai</w:t>
            </w:r>
          </w:p>
          <w:p w14:paraId="403B81AB" w14:textId="77777777" w:rsidR="00B6077F" w:rsidRPr="000154AB" w:rsidRDefault="00B6077F" w:rsidP="00B6077F">
            <w:pPr>
              <w:jc w:val="center"/>
              <w:rPr>
                <w:rFonts w:ascii="Times New Roman" w:hAnsi="Times New Roman" w:cs="Times New Roman"/>
                <w:b/>
                <w:sz w:val="24"/>
              </w:rPr>
            </w:pPr>
          </w:p>
        </w:tc>
      </w:tr>
      <w:tr w:rsidR="00B6077F" w:rsidRPr="00FC3C1A" w14:paraId="302DD192" w14:textId="77777777" w:rsidTr="00283754">
        <w:tc>
          <w:tcPr>
            <w:tcW w:w="523" w:type="pct"/>
            <w:vAlign w:val="center"/>
          </w:tcPr>
          <w:p w14:paraId="4AEBA378" w14:textId="77777777" w:rsidR="00B6077F" w:rsidRPr="004B5A8F" w:rsidRDefault="00B6077F" w:rsidP="00B6077F">
            <w:pPr>
              <w:pStyle w:val="Sraopastraipa"/>
              <w:ind w:left="0"/>
              <w:rPr>
                <w:rFonts w:ascii="Times New Roman" w:hAnsi="Times New Roman" w:cs="Times New Roman"/>
                <w:color w:val="FF0000"/>
                <w:sz w:val="24"/>
              </w:rPr>
            </w:pPr>
            <w:r w:rsidRPr="00746C15">
              <w:rPr>
                <w:rFonts w:ascii="Times New Roman" w:hAnsi="Times New Roman" w:cs="Times New Roman"/>
                <w:sz w:val="24"/>
              </w:rPr>
              <w:t>4.1.</w:t>
            </w:r>
          </w:p>
        </w:tc>
        <w:tc>
          <w:tcPr>
            <w:tcW w:w="1117" w:type="pct"/>
            <w:vAlign w:val="center"/>
          </w:tcPr>
          <w:p w14:paraId="4CEB0DEE" w14:textId="77777777" w:rsidR="00B6077F" w:rsidRPr="00317394" w:rsidRDefault="00B6077F" w:rsidP="00B6077F">
            <w:pPr>
              <w:jc w:val="both"/>
              <w:rPr>
                <w:rFonts w:ascii="Times New Roman" w:hAnsi="Times New Roman" w:cs="Times New Roman"/>
                <w:bCs/>
                <w:sz w:val="24"/>
              </w:rPr>
            </w:pPr>
            <w:r w:rsidRPr="00317394">
              <w:rPr>
                <w:rFonts w:ascii="Times New Roman" w:hAnsi="Times New Roman" w:cs="Times New Roman"/>
                <w:bCs/>
                <w:sz w:val="24"/>
              </w:rPr>
              <w:t>Garantija</w:t>
            </w:r>
          </w:p>
          <w:p w14:paraId="70824D68" w14:textId="77777777" w:rsidR="00B6077F" w:rsidRPr="003C57CA" w:rsidRDefault="00B6077F" w:rsidP="00B6077F">
            <w:pPr>
              <w:rPr>
                <w:rFonts w:ascii="Times New Roman" w:hAnsi="Times New Roman" w:cs="Times New Roman"/>
                <w:color w:val="FF0000"/>
                <w:sz w:val="24"/>
              </w:rPr>
            </w:pPr>
          </w:p>
        </w:tc>
        <w:tc>
          <w:tcPr>
            <w:tcW w:w="3360" w:type="pct"/>
            <w:gridSpan w:val="2"/>
            <w:vAlign w:val="center"/>
          </w:tcPr>
          <w:p w14:paraId="51E088D7" w14:textId="77777777" w:rsidR="00B6077F" w:rsidRPr="00317394" w:rsidRDefault="00B6077F" w:rsidP="00B6077F">
            <w:pPr>
              <w:rPr>
                <w:rFonts w:ascii="Times New Roman" w:hAnsi="Times New Roman" w:cs="Times New Roman"/>
                <w:sz w:val="24"/>
              </w:rPr>
            </w:pPr>
            <w:r w:rsidRPr="00317394">
              <w:rPr>
                <w:rFonts w:ascii="Times New Roman" w:hAnsi="Times New Roman" w:cs="Times New Roman"/>
                <w:sz w:val="24"/>
              </w:rPr>
              <w:t>Valtims, varikliams, transportavimo priekaboms turi būti suteikta ne mažiau 24 (dvidešimt keturių) mėn. garantija. Garantija pradedama skaičiuoti nuo prekių perdavimo  – priėmimo akto pasirašymo dienos.</w:t>
            </w:r>
          </w:p>
          <w:p w14:paraId="2DEE75E6" w14:textId="77777777" w:rsidR="00B6077F" w:rsidRPr="003C57CA" w:rsidRDefault="00B6077F" w:rsidP="00B6077F">
            <w:pPr>
              <w:rPr>
                <w:rFonts w:ascii="Times New Roman" w:hAnsi="Times New Roman" w:cs="Times New Roman"/>
                <w:color w:val="FF0000"/>
                <w:sz w:val="24"/>
              </w:rPr>
            </w:pPr>
          </w:p>
        </w:tc>
      </w:tr>
      <w:tr w:rsidR="00B6077F" w:rsidRPr="00FC3C1A" w14:paraId="139A7519" w14:textId="77777777" w:rsidTr="00283754">
        <w:tc>
          <w:tcPr>
            <w:tcW w:w="523" w:type="pct"/>
            <w:vAlign w:val="center"/>
          </w:tcPr>
          <w:p w14:paraId="68CD9FC9" w14:textId="77777777" w:rsidR="00B6077F" w:rsidRPr="00746C15" w:rsidRDefault="00B6077F" w:rsidP="00B6077F">
            <w:pPr>
              <w:pStyle w:val="Sraopastraipa"/>
              <w:ind w:left="0"/>
              <w:rPr>
                <w:rFonts w:ascii="Times New Roman" w:hAnsi="Times New Roman" w:cs="Times New Roman"/>
                <w:sz w:val="24"/>
              </w:rPr>
            </w:pPr>
            <w:r>
              <w:rPr>
                <w:rFonts w:ascii="Times New Roman" w:hAnsi="Times New Roman" w:cs="Times New Roman"/>
                <w:sz w:val="24"/>
              </w:rPr>
              <w:t>4.2.</w:t>
            </w:r>
          </w:p>
        </w:tc>
        <w:tc>
          <w:tcPr>
            <w:tcW w:w="1117" w:type="pct"/>
            <w:vAlign w:val="center"/>
          </w:tcPr>
          <w:p w14:paraId="3377C261" w14:textId="77777777" w:rsidR="00B6077F" w:rsidRPr="00317394" w:rsidRDefault="00B6077F" w:rsidP="00B6077F">
            <w:pPr>
              <w:jc w:val="both"/>
              <w:rPr>
                <w:rFonts w:ascii="Times New Roman" w:hAnsi="Times New Roman" w:cs="Times New Roman"/>
                <w:bCs/>
                <w:sz w:val="24"/>
              </w:rPr>
            </w:pPr>
            <w:r w:rsidRPr="00B96FEF">
              <w:rPr>
                <w:rFonts w:ascii="Times New Roman" w:hAnsi="Times New Roman" w:cs="Times New Roman"/>
                <w:sz w:val="24"/>
              </w:rPr>
              <w:t>Įrangos</w:t>
            </w:r>
            <w:r>
              <w:rPr>
                <w:rFonts w:ascii="Times New Roman" w:hAnsi="Times New Roman" w:cs="Times New Roman"/>
                <w:sz w:val="24"/>
              </w:rPr>
              <w:t xml:space="preserve"> ir technikos</w:t>
            </w:r>
            <w:r w:rsidRPr="00B96FEF">
              <w:rPr>
                <w:rFonts w:ascii="Times New Roman" w:hAnsi="Times New Roman" w:cs="Times New Roman"/>
                <w:sz w:val="24"/>
              </w:rPr>
              <w:t xml:space="preserve"> suderinamumas</w:t>
            </w:r>
          </w:p>
        </w:tc>
        <w:tc>
          <w:tcPr>
            <w:tcW w:w="3360" w:type="pct"/>
            <w:gridSpan w:val="2"/>
            <w:vAlign w:val="center"/>
          </w:tcPr>
          <w:p w14:paraId="1468CD58" w14:textId="77777777" w:rsidR="00B6077F" w:rsidRPr="00317394" w:rsidRDefault="00B6077F" w:rsidP="00B6077F">
            <w:pPr>
              <w:rPr>
                <w:rFonts w:ascii="Times New Roman" w:hAnsi="Times New Roman" w:cs="Times New Roman"/>
                <w:sz w:val="24"/>
              </w:rPr>
            </w:pPr>
            <w:r>
              <w:rPr>
                <w:rFonts w:ascii="Times New Roman" w:hAnsi="Times New Roman" w:cs="Times New Roman"/>
                <w:sz w:val="24"/>
              </w:rPr>
              <w:t>Valtis, varikliai ir transportavimo priekaba tarpusavyje turi būti suderinami ir tinkami naudoti kartu.</w:t>
            </w:r>
            <w:r w:rsidRPr="00B96FEF">
              <w:rPr>
                <w:rFonts w:ascii="Times New Roman" w:hAnsi="Times New Roman" w:cs="Times New Roman"/>
                <w:sz w:val="24"/>
              </w:rPr>
              <w:t xml:space="preserve"> </w:t>
            </w:r>
          </w:p>
        </w:tc>
      </w:tr>
      <w:bookmarkEnd w:id="17"/>
    </w:tbl>
    <w:p w14:paraId="278B088A" w14:textId="77777777" w:rsidR="00283754" w:rsidRDefault="00283754" w:rsidP="00283754">
      <w:pPr>
        <w:rPr>
          <w:rFonts w:ascii="Times New Roman" w:hAnsi="Times New Roman" w:cs="Times New Roman"/>
        </w:rPr>
      </w:pPr>
    </w:p>
    <w:p w14:paraId="17732C8A" w14:textId="77777777" w:rsidR="00283754" w:rsidRDefault="00283754" w:rsidP="00283754">
      <w:pPr>
        <w:ind w:right="-314" w:firstLine="1296"/>
        <w:rPr>
          <w:rFonts w:ascii="Times New Roman" w:hAnsi="Times New Roman" w:cs="Times New Roman"/>
          <w:bCs/>
          <w:sz w:val="24"/>
        </w:rPr>
      </w:pPr>
      <w:r w:rsidRPr="00EE710F">
        <w:rPr>
          <w:rFonts w:ascii="Times New Roman" w:hAnsi="Times New Roman" w:cs="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38806E2B" w14:textId="77777777" w:rsidR="00283754" w:rsidRDefault="00283754" w:rsidP="00283754">
      <w:pPr>
        <w:rPr>
          <w:rFonts w:ascii="Times New Roman" w:hAnsi="Times New Roman" w:cs="Times New Roman"/>
        </w:rPr>
      </w:pPr>
    </w:p>
    <w:p w14:paraId="11EEF625" w14:textId="320F3EC4" w:rsidR="009D1E76" w:rsidRPr="007B004A" w:rsidRDefault="00283754" w:rsidP="00283754">
      <w:pPr>
        <w:jc w:val="center"/>
        <w:rPr>
          <w:rFonts w:ascii="Calibri Light" w:hAnsi="Calibri Light" w:cs="Calibri Light"/>
          <w:b/>
          <w:sz w:val="20"/>
          <w:szCs w:val="20"/>
        </w:rPr>
      </w:pPr>
      <w:r w:rsidRPr="00FC3C1A">
        <w:rPr>
          <w:rFonts w:ascii="Times New Roman" w:hAnsi="Times New Roman" w:cs="Times New Roman"/>
        </w:rPr>
        <w:t>_____________________</w:t>
      </w:r>
    </w:p>
    <w:sectPr w:rsidR="009D1E76" w:rsidRPr="007B004A" w:rsidSect="00F372C9">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1447" w14:textId="77777777" w:rsidR="00796B08" w:rsidRDefault="00796B08">
      <w:pPr>
        <w:spacing w:after="0" w:line="240" w:lineRule="auto"/>
      </w:pPr>
      <w:r>
        <w:separator/>
      </w:r>
    </w:p>
  </w:endnote>
  <w:endnote w:type="continuationSeparator" w:id="0">
    <w:p w14:paraId="2222305A" w14:textId="77777777" w:rsidR="00796B08" w:rsidRDefault="0079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9A82" w14:textId="77777777" w:rsidR="00796B08" w:rsidRDefault="00796B08">
      <w:pPr>
        <w:spacing w:after="0" w:line="240" w:lineRule="auto"/>
      </w:pPr>
      <w:r>
        <w:separator/>
      </w:r>
    </w:p>
  </w:footnote>
  <w:footnote w:type="continuationSeparator" w:id="0">
    <w:p w14:paraId="3A50B4BF" w14:textId="77777777" w:rsidR="00796B08" w:rsidRDefault="0079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58030C"/>
    <w:multiLevelType w:val="multilevel"/>
    <w:tmpl w:val="FEC217EE"/>
    <w:lvl w:ilvl="0">
      <w:start w:val="2"/>
      <w:numFmt w:val="decimal"/>
      <w:lvlText w:val="%1."/>
      <w:lvlJc w:val="left"/>
      <w:pPr>
        <w:ind w:left="721" w:hanging="437"/>
      </w:pPr>
      <w:rPr>
        <w:rFonts w:hint="default"/>
        <w:b/>
        <w:bCs/>
      </w:rPr>
    </w:lvl>
    <w:lvl w:ilvl="1">
      <w:start w:val="10"/>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2"/>
  </w:num>
  <w:num w:numId="8" w16cid:durableId="529221219">
    <w:abstractNumId w:val="18"/>
  </w:num>
  <w:num w:numId="9" w16cid:durableId="1094548975">
    <w:abstractNumId w:val="24"/>
  </w:num>
  <w:num w:numId="10" w16cid:durableId="1580401970">
    <w:abstractNumId w:val="9"/>
  </w:num>
  <w:num w:numId="11" w16cid:durableId="1781336588">
    <w:abstractNumId w:val="28"/>
  </w:num>
  <w:num w:numId="12" w16cid:durableId="1381175592">
    <w:abstractNumId w:val="10"/>
  </w:num>
  <w:num w:numId="13" w16cid:durableId="1370374990">
    <w:abstractNumId w:val="34"/>
  </w:num>
  <w:num w:numId="14" w16cid:durableId="111437783">
    <w:abstractNumId w:val="19"/>
  </w:num>
  <w:num w:numId="15" w16cid:durableId="1148202898">
    <w:abstractNumId w:val="39"/>
  </w:num>
  <w:num w:numId="16" w16cid:durableId="1305549502">
    <w:abstractNumId w:val="15"/>
  </w:num>
  <w:num w:numId="17" w16cid:durableId="1408501943">
    <w:abstractNumId w:val="32"/>
  </w:num>
  <w:num w:numId="18" w16cid:durableId="315036040">
    <w:abstractNumId w:val="25"/>
  </w:num>
  <w:num w:numId="19" w16cid:durableId="1061950455">
    <w:abstractNumId w:val="21"/>
  </w:num>
  <w:num w:numId="20" w16cid:durableId="2136365952">
    <w:abstractNumId w:val="27"/>
  </w:num>
  <w:num w:numId="21" w16cid:durableId="1562403683">
    <w:abstractNumId w:val="35"/>
  </w:num>
  <w:num w:numId="22" w16cid:durableId="1420248804">
    <w:abstractNumId w:val="37"/>
  </w:num>
  <w:num w:numId="23" w16cid:durableId="883757669">
    <w:abstractNumId w:val="12"/>
  </w:num>
  <w:num w:numId="24" w16cid:durableId="1618830326">
    <w:abstractNumId w:val="33"/>
  </w:num>
  <w:num w:numId="25" w16cid:durableId="8920896">
    <w:abstractNumId w:val="13"/>
  </w:num>
  <w:num w:numId="26" w16cid:durableId="680200655">
    <w:abstractNumId w:val="29"/>
  </w:num>
  <w:num w:numId="27" w16cid:durableId="55671161">
    <w:abstractNumId w:val="40"/>
  </w:num>
  <w:num w:numId="28" w16cid:durableId="161629528">
    <w:abstractNumId w:val="8"/>
  </w:num>
  <w:num w:numId="29" w16cid:durableId="1194001031">
    <w:abstractNumId w:val="20"/>
  </w:num>
  <w:num w:numId="30" w16cid:durableId="262999469">
    <w:abstractNumId w:val="41"/>
  </w:num>
  <w:num w:numId="31" w16cid:durableId="1639913353">
    <w:abstractNumId w:val="30"/>
  </w:num>
  <w:num w:numId="32" w16cid:durableId="1190296742">
    <w:abstractNumId w:val="6"/>
  </w:num>
  <w:num w:numId="33" w16cid:durableId="1128476035">
    <w:abstractNumId w:val="36"/>
  </w:num>
  <w:num w:numId="34" w16cid:durableId="1485663515">
    <w:abstractNumId w:val="7"/>
  </w:num>
  <w:num w:numId="35" w16cid:durableId="745690183">
    <w:abstractNumId w:val="26"/>
  </w:num>
  <w:num w:numId="36" w16cid:durableId="572274698">
    <w:abstractNumId w:val="38"/>
  </w:num>
  <w:num w:numId="37" w16cid:durableId="315913160">
    <w:abstractNumId w:val="17"/>
  </w:num>
  <w:num w:numId="38" w16cid:durableId="1005547852">
    <w:abstractNumId w:val="31"/>
  </w:num>
  <w:num w:numId="39" w16cid:durableId="845559245">
    <w:abstractNumId w:val="23"/>
  </w:num>
  <w:num w:numId="40" w16cid:durableId="1324317634">
    <w:abstractNumId w:val="11"/>
  </w:num>
  <w:num w:numId="41" w16cid:durableId="146769876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8536A"/>
    <w:rsid w:val="0009047A"/>
    <w:rsid w:val="00097241"/>
    <w:rsid w:val="000A23D3"/>
    <w:rsid w:val="000B0A6A"/>
    <w:rsid w:val="000C1A17"/>
    <w:rsid w:val="000C7D37"/>
    <w:rsid w:val="000F3657"/>
    <w:rsid w:val="000F554D"/>
    <w:rsid w:val="00126A51"/>
    <w:rsid w:val="00133F52"/>
    <w:rsid w:val="0014465A"/>
    <w:rsid w:val="0015224A"/>
    <w:rsid w:val="00153F22"/>
    <w:rsid w:val="001555AC"/>
    <w:rsid w:val="0016225E"/>
    <w:rsid w:val="0016304D"/>
    <w:rsid w:val="00165468"/>
    <w:rsid w:val="00165519"/>
    <w:rsid w:val="00171C82"/>
    <w:rsid w:val="0018021B"/>
    <w:rsid w:val="001D4A45"/>
    <w:rsid w:val="001E3457"/>
    <w:rsid w:val="001E72B5"/>
    <w:rsid w:val="001F3F23"/>
    <w:rsid w:val="0020401E"/>
    <w:rsid w:val="002101D9"/>
    <w:rsid w:val="00216CC3"/>
    <w:rsid w:val="002304E4"/>
    <w:rsid w:val="00230C9A"/>
    <w:rsid w:val="00246179"/>
    <w:rsid w:val="002473F4"/>
    <w:rsid w:val="00253CB4"/>
    <w:rsid w:val="00261339"/>
    <w:rsid w:val="00261B88"/>
    <w:rsid w:val="00263108"/>
    <w:rsid w:val="002665CE"/>
    <w:rsid w:val="00273CFD"/>
    <w:rsid w:val="00283754"/>
    <w:rsid w:val="00290944"/>
    <w:rsid w:val="002912FE"/>
    <w:rsid w:val="002A474B"/>
    <w:rsid w:val="002A626E"/>
    <w:rsid w:val="002C2765"/>
    <w:rsid w:val="002C422B"/>
    <w:rsid w:val="002C4E6E"/>
    <w:rsid w:val="002C572E"/>
    <w:rsid w:val="002C658C"/>
    <w:rsid w:val="002C7F2C"/>
    <w:rsid w:val="002E00C9"/>
    <w:rsid w:val="002F1836"/>
    <w:rsid w:val="00306750"/>
    <w:rsid w:val="003150D0"/>
    <w:rsid w:val="003236D0"/>
    <w:rsid w:val="00334A5F"/>
    <w:rsid w:val="00341C69"/>
    <w:rsid w:val="00353C68"/>
    <w:rsid w:val="00355850"/>
    <w:rsid w:val="00355B56"/>
    <w:rsid w:val="00357BD5"/>
    <w:rsid w:val="003673D6"/>
    <w:rsid w:val="00370A88"/>
    <w:rsid w:val="00385616"/>
    <w:rsid w:val="0039440C"/>
    <w:rsid w:val="00397770"/>
    <w:rsid w:val="0039787C"/>
    <w:rsid w:val="003B0B81"/>
    <w:rsid w:val="003C129C"/>
    <w:rsid w:val="003C2849"/>
    <w:rsid w:val="003D0DA8"/>
    <w:rsid w:val="003D3BE3"/>
    <w:rsid w:val="003D5439"/>
    <w:rsid w:val="003E3438"/>
    <w:rsid w:val="003F2E3F"/>
    <w:rsid w:val="003F6C42"/>
    <w:rsid w:val="003F73B5"/>
    <w:rsid w:val="0042600F"/>
    <w:rsid w:val="004265E2"/>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0445"/>
    <w:rsid w:val="0048180B"/>
    <w:rsid w:val="00483E3A"/>
    <w:rsid w:val="004A2E21"/>
    <w:rsid w:val="004A2F52"/>
    <w:rsid w:val="004A58F9"/>
    <w:rsid w:val="004B1AD8"/>
    <w:rsid w:val="004B7CF6"/>
    <w:rsid w:val="004C1BD0"/>
    <w:rsid w:val="004D238B"/>
    <w:rsid w:val="004E2DBF"/>
    <w:rsid w:val="004E5655"/>
    <w:rsid w:val="004F1729"/>
    <w:rsid w:val="004F2DEF"/>
    <w:rsid w:val="004F4B43"/>
    <w:rsid w:val="004F690D"/>
    <w:rsid w:val="0050743B"/>
    <w:rsid w:val="0051322B"/>
    <w:rsid w:val="005238FE"/>
    <w:rsid w:val="00544F1B"/>
    <w:rsid w:val="00547246"/>
    <w:rsid w:val="00586FA3"/>
    <w:rsid w:val="005907B7"/>
    <w:rsid w:val="005936B2"/>
    <w:rsid w:val="005A210F"/>
    <w:rsid w:val="005B07A1"/>
    <w:rsid w:val="005B0F2D"/>
    <w:rsid w:val="005B681B"/>
    <w:rsid w:val="005C3338"/>
    <w:rsid w:val="005C5732"/>
    <w:rsid w:val="005D2035"/>
    <w:rsid w:val="005D6336"/>
    <w:rsid w:val="005D72CE"/>
    <w:rsid w:val="006040B7"/>
    <w:rsid w:val="00612BE3"/>
    <w:rsid w:val="006171F1"/>
    <w:rsid w:val="00624556"/>
    <w:rsid w:val="0062594A"/>
    <w:rsid w:val="0062688A"/>
    <w:rsid w:val="0063093F"/>
    <w:rsid w:val="006629F3"/>
    <w:rsid w:val="0067048E"/>
    <w:rsid w:val="006713A7"/>
    <w:rsid w:val="006717EB"/>
    <w:rsid w:val="00671C08"/>
    <w:rsid w:val="006A2DF1"/>
    <w:rsid w:val="006B2576"/>
    <w:rsid w:val="006B3A7B"/>
    <w:rsid w:val="006B5389"/>
    <w:rsid w:val="006C070D"/>
    <w:rsid w:val="006D305F"/>
    <w:rsid w:val="006E0547"/>
    <w:rsid w:val="006F599E"/>
    <w:rsid w:val="00711888"/>
    <w:rsid w:val="00733BB8"/>
    <w:rsid w:val="00734B9E"/>
    <w:rsid w:val="007508A2"/>
    <w:rsid w:val="00755EFD"/>
    <w:rsid w:val="007607FF"/>
    <w:rsid w:val="007650F8"/>
    <w:rsid w:val="007651CB"/>
    <w:rsid w:val="0078742F"/>
    <w:rsid w:val="00791CCE"/>
    <w:rsid w:val="00795452"/>
    <w:rsid w:val="00796B08"/>
    <w:rsid w:val="007B004A"/>
    <w:rsid w:val="007B021B"/>
    <w:rsid w:val="007B2144"/>
    <w:rsid w:val="007C1EB6"/>
    <w:rsid w:val="007C6AE7"/>
    <w:rsid w:val="007D484D"/>
    <w:rsid w:val="007E19FD"/>
    <w:rsid w:val="007E41FC"/>
    <w:rsid w:val="00800BE3"/>
    <w:rsid w:val="00801195"/>
    <w:rsid w:val="00813B14"/>
    <w:rsid w:val="00816ADE"/>
    <w:rsid w:val="008327EA"/>
    <w:rsid w:val="008329FD"/>
    <w:rsid w:val="00834941"/>
    <w:rsid w:val="00841688"/>
    <w:rsid w:val="008430BA"/>
    <w:rsid w:val="00861471"/>
    <w:rsid w:val="00862EA0"/>
    <w:rsid w:val="00865E51"/>
    <w:rsid w:val="00865FD8"/>
    <w:rsid w:val="008702D5"/>
    <w:rsid w:val="008718DB"/>
    <w:rsid w:val="0087470F"/>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0CA4"/>
    <w:rsid w:val="008E1C16"/>
    <w:rsid w:val="008E2DBF"/>
    <w:rsid w:val="00903F27"/>
    <w:rsid w:val="009123C2"/>
    <w:rsid w:val="0095386F"/>
    <w:rsid w:val="00957A69"/>
    <w:rsid w:val="00974023"/>
    <w:rsid w:val="0098678C"/>
    <w:rsid w:val="0099199E"/>
    <w:rsid w:val="0099266F"/>
    <w:rsid w:val="00993F3E"/>
    <w:rsid w:val="009B26D3"/>
    <w:rsid w:val="009B50A2"/>
    <w:rsid w:val="009C1CD8"/>
    <w:rsid w:val="009C3BD8"/>
    <w:rsid w:val="009D0B8C"/>
    <w:rsid w:val="009D1E76"/>
    <w:rsid w:val="009F27F7"/>
    <w:rsid w:val="009F47E6"/>
    <w:rsid w:val="009F6EAF"/>
    <w:rsid w:val="00A06A03"/>
    <w:rsid w:val="00A075B9"/>
    <w:rsid w:val="00A1109D"/>
    <w:rsid w:val="00A12041"/>
    <w:rsid w:val="00A122D6"/>
    <w:rsid w:val="00A25093"/>
    <w:rsid w:val="00A33D41"/>
    <w:rsid w:val="00A34BF3"/>
    <w:rsid w:val="00A454DD"/>
    <w:rsid w:val="00A46760"/>
    <w:rsid w:val="00A5617A"/>
    <w:rsid w:val="00A5653E"/>
    <w:rsid w:val="00A660A0"/>
    <w:rsid w:val="00A72069"/>
    <w:rsid w:val="00A90AB3"/>
    <w:rsid w:val="00A91815"/>
    <w:rsid w:val="00A9338B"/>
    <w:rsid w:val="00A96A85"/>
    <w:rsid w:val="00AA01C0"/>
    <w:rsid w:val="00AA63CF"/>
    <w:rsid w:val="00AB0ADF"/>
    <w:rsid w:val="00AB2361"/>
    <w:rsid w:val="00AB695D"/>
    <w:rsid w:val="00AC3125"/>
    <w:rsid w:val="00AC3360"/>
    <w:rsid w:val="00AC3C4C"/>
    <w:rsid w:val="00AE7268"/>
    <w:rsid w:val="00AF0326"/>
    <w:rsid w:val="00B00BCD"/>
    <w:rsid w:val="00B065CB"/>
    <w:rsid w:val="00B1115A"/>
    <w:rsid w:val="00B12311"/>
    <w:rsid w:val="00B20BFE"/>
    <w:rsid w:val="00B23C1E"/>
    <w:rsid w:val="00B2421F"/>
    <w:rsid w:val="00B264A3"/>
    <w:rsid w:val="00B47F94"/>
    <w:rsid w:val="00B56DE9"/>
    <w:rsid w:val="00B6077F"/>
    <w:rsid w:val="00B66F5F"/>
    <w:rsid w:val="00B70401"/>
    <w:rsid w:val="00B71273"/>
    <w:rsid w:val="00B7462E"/>
    <w:rsid w:val="00B76618"/>
    <w:rsid w:val="00B9260E"/>
    <w:rsid w:val="00BA2917"/>
    <w:rsid w:val="00BA5B69"/>
    <w:rsid w:val="00BB4829"/>
    <w:rsid w:val="00BB6668"/>
    <w:rsid w:val="00BD0CA9"/>
    <w:rsid w:val="00BD1775"/>
    <w:rsid w:val="00BD2308"/>
    <w:rsid w:val="00BD665B"/>
    <w:rsid w:val="00BE7109"/>
    <w:rsid w:val="00BF4817"/>
    <w:rsid w:val="00BF7E4E"/>
    <w:rsid w:val="00C0304D"/>
    <w:rsid w:val="00C130BC"/>
    <w:rsid w:val="00C16318"/>
    <w:rsid w:val="00C163C7"/>
    <w:rsid w:val="00C16555"/>
    <w:rsid w:val="00C2041D"/>
    <w:rsid w:val="00C23C40"/>
    <w:rsid w:val="00C325F8"/>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E73D9"/>
    <w:rsid w:val="00CF4361"/>
    <w:rsid w:val="00D0157B"/>
    <w:rsid w:val="00D0377C"/>
    <w:rsid w:val="00D04F42"/>
    <w:rsid w:val="00D1317D"/>
    <w:rsid w:val="00D216E1"/>
    <w:rsid w:val="00D2233A"/>
    <w:rsid w:val="00D23D84"/>
    <w:rsid w:val="00D25C2F"/>
    <w:rsid w:val="00D36319"/>
    <w:rsid w:val="00D42EEC"/>
    <w:rsid w:val="00D54CF4"/>
    <w:rsid w:val="00D56F6A"/>
    <w:rsid w:val="00D62C94"/>
    <w:rsid w:val="00D92A1E"/>
    <w:rsid w:val="00DA6DE2"/>
    <w:rsid w:val="00DB087F"/>
    <w:rsid w:val="00DB2CC7"/>
    <w:rsid w:val="00DB6CBD"/>
    <w:rsid w:val="00DB7DFF"/>
    <w:rsid w:val="00DC06DE"/>
    <w:rsid w:val="00DC157F"/>
    <w:rsid w:val="00DC1C4E"/>
    <w:rsid w:val="00DC4FBD"/>
    <w:rsid w:val="00DD2695"/>
    <w:rsid w:val="00DD6F1A"/>
    <w:rsid w:val="00DF2524"/>
    <w:rsid w:val="00E019A8"/>
    <w:rsid w:val="00E066C9"/>
    <w:rsid w:val="00E14620"/>
    <w:rsid w:val="00E241BC"/>
    <w:rsid w:val="00E2482E"/>
    <w:rsid w:val="00E25BB1"/>
    <w:rsid w:val="00E322C4"/>
    <w:rsid w:val="00E35014"/>
    <w:rsid w:val="00E37313"/>
    <w:rsid w:val="00E41A41"/>
    <w:rsid w:val="00E426B7"/>
    <w:rsid w:val="00E71BF2"/>
    <w:rsid w:val="00E83E6A"/>
    <w:rsid w:val="00EA0899"/>
    <w:rsid w:val="00EA0E99"/>
    <w:rsid w:val="00EC0667"/>
    <w:rsid w:val="00EC34D0"/>
    <w:rsid w:val="00ED793B"/>
    <w:rsid w:val="00EF116A"/>
    <w:rsid w:val="00EF3813"/>
    <w:rsid w:val="00F048F2"/>
    <w:rsid w:val="00F22BDF"/>
    <w:rsid w:val="00F268B6"/>
    <w:rsid w:val="00F372C9"/>
    <w:rsid w:val="00F377FE"/>
    <w:rsid w:val="00F4255E"/>
    <w:rsid w:val="00F467F9"/>
    <w:rsid w:val="00F47116"/>
    <w:rsid w:val="00F5081D"/>
    <w:rsid w:val="00F57DDF"/>
    <w:rsid w:val="00F63E39"/>
    <w:rsid w:val="00F64268"/>
    <w:rsid w:val="00F676C2"/>
    <w:rsid w:val="00F914F2"/>
    <w:rsid w:val="00F946E3"/>
    <w:rsid w:val="00F95C8F"/>
    <w:rsid w:val="00FA2A3C"/>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table" w:customStyle="1" w:styleId="TableGrid2">
    <w:name w:val="Table Grid2"/>
    <w:basedOn w:val="prastojilentel"/>
    <w:next w:val="Lentelstinklelis"/>
    <w:uiPriority w:val="39"/>
    <w:rsid w:val="00D56F6A"/>
    <w:pPr>
      <w:spacing w:after="0" w:line="240" w:lineRule="auto"/>
      <w:jc w:val="left"/>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593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2828774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4373</Words>
  <Characters>2493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Asta Kliokytė</cp:lastModifiedBy>
  <cp:revision>17</cp:revision>
  <cp:lastPrinted>2025-01-17T11:08:00Z</cp:lastPrinted>
  <dcterms:created xsi:type="dcterms:W3CDTF">2025-07-03T13:44:00Z</dcterms:created>
  <dcterms:modified xsi:type="dcterms:W3CDTF">2025-10-29T07:35:00Z</dcterms:modified>
  <cp:version>1</cp:version>
</cp:coreProperties>
</file>