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6ADF907D" w:rsidR="0068231C" w:rsidRDefault="00023461">
            <w:pPr>
              <w:jc w:val="both"/>
              <w:rPr>
                <w:kern w:val="2"/>
                <w:szCs w:val="24"/>
              </w:rPr>
            </w:pPr>
            <w:r w:rsidRPr="00023461">
              <w:rPr>
                <w:kern w:val="2"/>
                <w:szCs w:val="24"/>
              </w:rPr>
              <w:t>„Specialios mitybos mišiniai, kompensuojami iš Retų ligų fondo (10370)</w:t>
            </w:r>
            <w:r w:rsidR="00EF6E4C" w:rsidRPr="00EF6E4C">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314888" w:rsidRDefault="00E5166C" w:rsidP="00314888">
            <w:pPr>
              <w:jc w:val="both"/>
              <w:rPr>
                <w:kern w:val="2"/>
                <w:szCs w:val="24"/>
              </w:rPr>
            </w:pPr>
            <w:r w:rsidRPr="004C6076">
              <w:rPr>
                <w:kern w:val="2"/>
                <w:szCs w:val="24"/>
              </w:rPr>
              <w:t xml:space="preserve">2.1.1. Už Sutarties vykdymą ir prekių priėmimą atsakingas: </w:t>
            </w:r>
            <w:r w:rsidR="00023461">
              <w:rPr>
                <w:kern w:val="2"/>
                <w:szCs w:val="24"/>
              </w:rPr>
              <w:t>F</w:t>
            </w:r>
            <w:r w:rsidR="00023461" w:rsidRPr="00023461">
              <w:rPr>
                <w:kern w:val="2"/>
                <w:szCs w:val="24"/>
              </w:rPr>
              <w:t>armacinės veiklos skyri</w:t>
            </w:r>
            <w:r w:rsidR="00023461">
              <w:rPr>
                <w:kern w:val="2"/>
                <w:szCs w:val="24"/>
              </w:rPr>
              <w:t>a</w:t>
            </w:r>
            <w:r w:rsidR="00023461" w:rsidRPr="00023461">
              <w:rPr>
                <w:kern w:val="2"/>
                <w:szCs w:val="24"/>
              </w:rPr>
              <w:t xml:space="preserve">us </w:t>
            </w:r>
            <w:r w:rsidR="00314888" w:rsidRPr="00314888">
              <w:rPr>
                <w:kern w:val="2"/>
                <w:szCs w:val="24"/>
              </w:rPr>
              <w:t>1-o</w:t>
            </w:r>
            <w:r w:rsidR="00314888">
              <w:rPr>
                <w:kern w:val="2"/>
                <w:szCs w:val="24"/>
              </w:rPr>
              <w:t>sios</w:t>
            </w:r>
            <w:r w:rsidR="00314888" w:rsidRPr="00314888">
              <w:rPr>
                <w:kern w:val="2"/>
                <w:szCs w:val="24"/>
              </w:rPr>
              <w:t xml:space="preserve"> ligoninės vaistinė</w:t>
            </w:r>
            <w:r w:rsidR="00314888">
              <w:rPr>
                <w:kern w:val="2"/>
                <w:szCs w:val="24"/>
              </w:rPr>
              <w:t xml:space="preserve">s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10B7DA1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AB09FF">
              <w:t xml:space="preserve"> </w:t>
            </w:r>
            <w:r w:rsidR="004C5A22">
              <w:t xml:space="preserve"> </w:t>
            </w:r>
            <w:r w:rsidR="00BA2056" w:rsidRPr="00BA2056">
              <w:t>specialios mitybos mišinius, kompensuojamus iš Retų ligų fondo</w:t>
            </w:r>
            <w:r w:rsidR="00BA2056">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w:t>
            </w:r>
            <w:r w:rsidRPr="004C6076">
              <w:rPr>
                <w:color w:val="000000"/>
                <w:kern w:val="2"/>
                <w:szCs w:val="24"/>
              </w:rPr>
              <w:lastRenderedPageBreak/>
              <w:t xml:space="preserve">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CFD48E5" w:rsidR="0068231C" w:rsidRPr="004B2763" w:rsidRDefault="00314888" w:rsidP="0033481E">
            <w:pPr>
              <w:jc w:val="both"/>
              <w:rPr>
                <w:kern w:val="2"/>
                <w:szCs w:val="24"/>
              </w:rPr>
            </w:pPr>
            <w:r w:rsidRPr="00023461">
              <w:rPr>
                <w:kern w:val="2"/>
                <w:szCs w:val="24"/>
              </w:rPr>
              <w:t>„Specialios mitybos mišiniai, kompensuojami iš Retų ligų fondo (10370)</w:t>
            </w:r>
            <w:r w:rsidRPr="00EF6E4C">
              <w:rPr>
                <w:kern w:val="2"/>
                <w:szCs w:val="24"/>
              </w:rPr>
              <w:t>“</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6B89BF1A"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00BA2056">
              <w:rPr>
                <w:b/>
                <w:bCs/>
                <w:kern w:val="2"/>
                <w:szCs w:val="24"/>
              </w:rPr>
              <w:t>4</w:t>
            </w:r>
            <w:r w:rsidRPr="009A4DF2">
              <w:rPr>
                <w:b/>
                <w:bCs/>
                <w:kern w:val="2"/>
                <w:szCs w:val="24"/>
              </w:rPr>
              <w:t xml:space="preserve"> (</w:t>
            </w:r>
            <w:r w:rsidR="00BA2056">
              <w:rPr>
                <w:b/>
                <w:bCs/>
                <w:kern w:val="2"/>
                <w:szCs w:val="24"/>
              </w:rPr>
              <w:t>keturiolika</w:t>
            </w:r>
            <w:r w:rsidRPr="009A4DF2">
              <w:rPr>
                <w:b/>
                <w:bCs/>
                <w:kern w:val="2"/>
                <w:szCs w:val="24"/>
              </w:rPr>
              <w:t xml:space="preserve">) </w:t>
            </w:r>
            <w:r w:rsidR="005F7C50">
              <w:rPr>
                <w:b/>
                <w:bCs/>
                <w:kern w:val="2"/>
                <w:szCs w:val="24"/>
              </w:rPr>
              <w:t xml:space="preserve">kalendorinių </w:t>
            </w:r>
            <w:r w:rsidRPr="009A4DF2">
              <w:rPr>
                <w:b/>
                <w:bCs/>
                <w:kern w:val="2"/>
                <w:szCs w:val="24"/>
              </w:rPr>
              <w:t>dienų</w:t>
            </w:r>
            <w:r w:rsid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69CC7FA" w14:textId="146B1A50" w:rsidR="00BA2056" w:rsidRDefault="00492DAB" w:rsidP="00BA2056">
            <w:pPr>
              <w:jc w:val="both"/>
              <w:textAlignment w:val="baseline"/>
              <w:rPr>
                <w:color w:val="000000" w:themeColor="text1"/>
              </w:rPr>
            </w:pPr>
            <w:r>
              <w:rPr>
                <w:kern w:val="2"/>
                <w:szCs w:val="24"/>
              </w:rPr>
              <w:t>Santariškių g. 2</w:t>
            </w:r>
            <w:r w:rsidR="00D4692A" w:rsidRPr="00D4692A">
              <w:rPr>
                <w:kern w:val="2"/>
                <w:szCs w:val="24"/>
              </w:rPr>
              <w:t>, Vilnius</w:t>
            </w:r>
            <w:r w:rsidR="00BA2056">
              <w:rPr>
                <w:color w:val="000000" w:themeColor="text1"/>
              </w:rPr>
              <w:t xml:space="preserve"> (1-oji ligoninės vaistinė); </w:t>
            </w:r>
          </w:p>
          <w:p w14:paraId="27935A16" w14:textId="018963F2" w:rsidR="00BA2056" w:rsidRPr="00FD70A9" w:rsidRDefault="00BA2056" w:rsidP="00D4692A">
            <w:pPr>
              <w:jc w:val="both"/>
              <w:textAlignment w:val="baseline"/>
              <w:rPr>
                <w:kern w:val="2"/>
                <w:szCs w:val="24"/>
              </w:rPr>
            </w:pPr>
            <w:r w:rsidRPr="005B2A51">
              <w:rPr>
                <w:color w:val="000000" w:themeColor="text1"/>
              </w:rPr>
              <w:t xml:space="preserve">Santariškių g. </w:t>
            </w:r>
            <w:r>
              <w:rPr>
                <w:color w:val="000000" w:themeColor="text1"/>
              </w:rPr>
              <w:t>7</w:t>
            </w:r>
            <w:r w:rsidRPr="005B2A51">
              <w:rPr>
                <w:color w:val="000000" w:themeColor="text1"/>
              </w:rPr>
              <w:t>, Vilnius</w:t>
            </w:r>
            <w:r>
              <w:rPr>
                <w:color w:val="000000" w:themeColor="text1"/>
              </w:rPr>
              <w:t xml:space="preserve"> (2-oji ligoninės vaistinė).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3E0D8B" w:rsidRDefault="005F61A5" w:rsidP="005F61A5">
            <w:pPr>
              <w:jc w:val="both"/>
              <w:rPr>
                <w:kern w:val="2"/>
                <w:szCs w:val="24"/>
              </w:rPr>
            </w:pPr>
            <w:r w:rsidRPr="00DB1BF2">
              <w:rPr>
                <w:kern w:val="2"/>
                <w:szCs w:val="24"/>
              </w:rPr>
              <w:t xml:space="preserve">Kartu su Prekėmis pateikiami šie dokumentai: </w:t>
            </w:r>
          </w:p>
          <w:p w14:paraId="46965E23" w14:textId="77777777" w:rsidR="00DB1BF2" w:rsidRPr="00DB1BF2" w:rsidRDefault="005F61A5" w:rsidP="005F61A5">
            <w:pPr>
              <w:jc w:val="both"/>
              <w:rPr>
                <w:kern w:val="2"/>
                <w:szCs w:val="24"/>
              </w:rPr>
            </w:pPr>
            <w:r w:rsidRPr="00733D18">
              <w:rPr>
                <w:kern w:val="2"/>
                <w:szCs w:val="24"/>
              </w:rPr>
              <w:t xml:space="preserve">4.5.1. </w:t>
            </w:r>
            <w:r w:rsidR="00DB1BF2" w:rsidRPr="00DB1BF2">
              <w:rPr>
                <w:kern w:val="2"/>
                <w:szCs w:val="24"/>
              </w:rPr>
              <w:t>Sąskaita faktūra;</w:t>
            </w:r>
          </w:p>
          <w:p w14:paraId="3816F473" w14:textId="6607F08D" w:rsidR="005F61A5" w:rsidRPr="003E0D8B" w:rsidRDefault="005F61A5" w:rsidP="005F61A5">
            <w:pPr>
              <w:jc w:val="both"/>
              <w:rPr>
                <w:kern w:val="2"/>
                <w:szCs w:val="24"/>
              </w:rPr>
            </w:pPr>
            <w:r w:rsidRPr="00DB1BF2">
              <w:rPr>
                <w:kern w:val="2"/>
                <w:szCs w:val="24"/>
              </w:rPr>
              <w:t>4.5.</w:t>
            </w:r>
            <w:r w:rsidR="003E0D8B">
              <w:rPr>
                <w:kern w:val="2"/>
                <w:szCs w:val="24"/>
              </w:rPr>
              <w:t>2</w:t>
            </w:r>
            <w:r w:rsidRPr="00DB1BF2">
              <w:rPr>
                <w:kern w:val="2"/>
                <w:szCs w:val="24"/>
              </w:rPr>
              <w:t>. Prekės antrinės pakuotės tinkamumą perdirbti (</w:t>
            </w:r>
            <w:proofErr w:type="spellStart"/>
            <w:r w:rsidRPr="00DB1BF2">
              <w:rPr>
                <w:kern w:val="2"/>
                <w:szCs w:val="24"/>
              </w:rPr>
              <w:t>perdirbamumą</w:t>
            </w:r>
            <w:proofErr w:type="spellEnd"/>
            <w:r w:rsidRPr="00DB1BF2">
              <w:rPr>
                <w:kern w:val="2"/>
                <w:szCs w:val="24"/>
              </w:rPr>
              <w:t>) patvirtinan</w:t>
            </w:r>
            <w:r w:rsidR="00DB1BF2" w:rsidRPr="00DB1BF2">
              <w:rPr>
                <w:kern w:val="2"/>
                <w:szCs w:val="24"/>
              </w:rPr>
              <w:t>tys</w:t>
            </w:r>
            <w:r w:rsidRPr="00DB1BF2">
              <w:rPr>
                <w:kern w:val="2"/>
                <w:szCs w:val="24"/>
              </w:rPr>
              <w:t xml:space="preserve"> dokument</w:t>
            </w:r>
            <w:r w:rsidR="00DB1BF2" w:rsidRPr="00DB1BF2">
              <w:rPr>
                <w:kern w:val="2"/>
                <w:szCs w:val="24"/>
              </w:rPr>
              <w:t>ai</w:t>
            </w:r>
            <w:r w:rsidR="00733D18">
              <w:rPr>
                <w:kern w:val="2"/>
                <w:szCs w:val="24"/>
              </w:rPr>
              <w:t xml:space="preserve">, nurodyti </w:t>
            </w:r>
            <w:r w:rsidR="00733D18" w:rsidRPr="00733D18">
              <w:rPr>
                <w:kern w:val="2"/>
                <w:szCs w:val="24"/>
              </w:rPr>
              <w:t>13.1.1</w:t>
            </w:r>
            <w:r w:rsidR="00733D18">
              <w:rPr>
                <w:kern w:val="2"/>
                <w:szCs w:val="24"/>
              </w:rPr>
              <w:t xml:space="preserve"> punkte.</w:t>
            </w:r>
          </w:p>
          <w:p w14:paraId="6085B884" w14:textId="68216A7C" w:rsidR="00CD6A68" w:rsidRPr="00FB060D" w:rsidRDefault="005F61A5" w:rsidP="00D01B2F">
            <w:pPr>
              <w:jc w:val="both"/>
              <w:rPr>
                <w:kern w:val="2"/>
                <w:szCs w:val="24"/>
              </w:rPr>
            </w:pPr>
            <w:r w:rsidRPr="00733D18">
              <w:rPr>
                <w:kern w:val="2"/>
                <w:szCs w:val="24"/>
              </w:rPr>
              <w:t>Tiekėjui nepateikus nurodytų dokum</w:t>
            </w:r>
            <w:r w:rsidRPr="00DB1BF2">
              <w:rPr>
                <w:kern w:val="2"/>
                <w:szCs w:val="24"/>
              </w:rPr>
              <w:t>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6B608F" w14:textId="77777777" w:rsidR="00557322" w:rsidRDefault="00557322" w:rsidP="00557322">
            <w:pPr>
              <w:jc w:val="both"/>
              <w:rPr>
                <w:color w:val="000000"/>
                <w:kern w:val="2"/>
                <w:szCs w:val="24"/>
              </w:rPr>
            </w:pPr>
          </w:p>
          <w:p w14:paraId="16A8DCDC" w14:textId="7835AE31" w:rsidR="0036581E" w:rsidRPr="00D9400C" w:rsidRDefault="00557322" w:rsidP="0036581E">
            <w:pPr>
              <w:jc w:val="both"/>
              <w:rPr>
                <w:color w:val="000000"/>
                <w:kern w:val="2"/>
                <w:szCs w:val="24"/>
              </w:rPr>
            </w:pPr>
            <w:r w:rsidRPr="00557322">
              <w:rPr>
                <w:color w:val="000000"/>
                <w:kern w:val="2"/>
                <w:szCs w:val="24"/>
              </w:rPr>
              <w:lastRenderedPageBreak/>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lastRenderedPageBreak/>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proofErr w:type="spellStart"/>
            <w:r w:rsidRPr="005957C7">
              <w:rPr>
                <w:szCs w:val="24"/>
              </w:rPr>
              <w:t>Ind</w:t>
            </w:r>
            <w:r w:rsidRPr="005957C7">
              <w:rPr>
                <w:szCs w:val="24"/>
                <w:vertAlign w:val="subscript"/>
              </w:rPr>
              <w:t>naujausias</w:t>
            </w:r>
            <w:proofErr w:type="spellEnd"/>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proofErr w:type="spellStart"/>
            <w:r w:rsidRPr="005957C7">
              <w:rPr>
                <w:szCs w:val="24"/>
              </w:rPr>
              <w:t>Ind</w:t>
            </w:r>
            <w:r w:rsidRPr="005957C7">
              <w:rPr>
                <w:szCs w:val="24"/>
                <w:vertAlign w:val="subscript"/>
              </w:rPr>
              <w:t>pradžia</w:t>
            </w:r>
            <w:proofErr w:type="spellEnd"/>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w:t>
            </w:r>
            <w:r w:rsidRPr="00134044">
              <w:rPr>
                <w:kern w:val="2"/>
                <w:szCs w:val="24"/>
                <w:shd w:val="clear" w:color="auto" w:fill="FFFFFF"/>
              </w:rPr>
              <w:lastRenderedPageBreak/>
              <w:t>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1AFC2E91" w:rsidR="00D43EE4" w:rsidRDefault="0005103F" w:rsidP="00743FC2">
            <w:pPr>
              <w:jc w:val="both"/>
              <w:rPr>
                <w:szCs w:val="24"/>
              </w:rPr>
            </w:pPr>
            <w:r w:rsidRPr="00470D35">
              <w:rPr>
                <w:kern w:val="2"/>
                <w:sz w:val="22"/>
                <w:szCs w:val="22"/>
              </w:rPr>
              <w:t xml:space="preserve"> </w:t>
            </w:r>
            <w:r w:rsidR="00D43EE4" w:rsidRPr="00D43EE4">
              <w:rPr>
                <w:szCs w:val="24"/>
              </w:rPr>
              <w:t>Pristatomų prekių galiojimo terminas turi būti ne trumpesnis kaip 6 (šeši) mėnesiai iki galiojimo termino pabaigos.</w:t>
            </w:r>
          </w:p>
          <w:p w14:paraId="39F96FCA" w14:textId="544F5029" w:rsidR="0068231C" w:rsidRPr="00E634E1" w:rsidRDefault="0005103F" w:rsidP="00743FC2">
            <w:pPr>
              <w:jc w:val="both"/>
              <w:rPr>
                <w:kern w:val="2"/>
                <w:sz w:val="22"/>
                <w:szCs w:val="22"/>
              </w:rPr>
            </w:pPr>
            <w:r w:rsidRPr="00E634E1">
              <w:rPr>
                <w:szCs w:val="24"/>
              </w:rPr>
              <w:t>Garantinis terminas, skaičiuojamas nuo Prekių perdavimo–priėmimo akto ar Sąskaitos (kai Prekių perdavimo–priėmimo aktas nėra pasirašomas) pasirašymo dienos</w:t>
            </w:r>
            <w:r w:rsidRPr="00E634E1">
              <w:rPr>
                <w:kern w:val="2"/>
                <w:szCs w:val="24"/>
              </w:rPr>
              <w:t>.</w:t>
            </w:r>
            <w:r w:rsidRPr="00470D35">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4B77157C" w:rsidR="00A47B45" w:rsidRDefault="008F49A9" w:rsidP="00CC2EC0">
            <w:pPr>
              <w:jc w:val="both"/>
              <w:rPr>
                <w:kern w:val="2"/>
                <w:szCs w:val="24"/>
              </w:rPr>
            </w:pPr>
            <w:r w:rsidRPr="008F49A9">
              <w:rPr>
                <w:kern w:val="2"/>
                <w:szCs w:val="24"/>
              </w:rPr>
              <w:t>Tiekėjas privalo pašalinti Prekių trūkumus ne vėliau kaip per 5 (penkias) darbo dienas.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w:t>
            </w:r>
            <w:r w:rsidRPr="00D1609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lastRenderedPageBreak/>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4473683" w:rsidR="0068231C" w:rsidRPr="00D13DC8" w:rsidRDefault="00D13DC8" w:rsidP="00D13DC8">
            <w:pPr>
              <w:jc w:val="both"/>
              <w:rPr>
                <w:kern w:val="2"/>
                <w:szCs w:val="24"/>
              </w:rPr>
            </w:pPr>
            <w:r w:rsidRPr="004C6076">
              <w:rPr>
                <w:kern w:val="2"/>
                <w:szCs w:val="24"/>
              </w:rPr>
              <w:lastRenderedPageBreak/>
              <w:t xml:space="preserve">Sutartis galioja iki visiško prievolių įvykdymo (kol bus išnaudota Pradinės Sutarties vertė, bet jos terminas negali būti ilgesnis kaip </w:t>
            </w:r>
            <w:r w:rsidR="00B402AB">
              <w:rPr>
                <w:kern w:val="2"/>
                <w:szCs w:val="24"/>
              </w:rPr>
              <w:t>26</w:t>
            </w:r>
            <w:r w:rsidR="00B402AB" w:rsidRPr="004C6076">
              <w:rPr>
                <w:kern w:val="2"/>
                <w:szCs w:val="24"/>
              </w:rPr>
              <w:t xml:space="preserve"> </w:t>
            </w:r>
            <w:r w:rsidRPr="004C6076">
              <w:rPr>
                <w:kern w:val="2"/>
                <w:szCs w:val="24"/>
              </w:rPr>
              <w:t>(</w:t>
            </w:r>
            <w:r w:rsidR="00B402AB">
              <w:rPr>
                <w:kern w:val="2"/>
                <w:szCs w:val="24"/>
              </w:rPr>
              <w:t>dvidešimt šeši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402AB">
              <w:rPr>
                <w:kern w:val="2"/>
                <w:szCs w:val="24"/>
              </w:rPr>
              <w:t>24</w:t>
            </w:r>
            <w:r w:rsidRPr="004C6076">
              <w:rPr>
                <w:kern w:val="2"/>
                <w:szCs w:val="24"/>
              </w:rPr>
              <w:t xml:space="preserve"> (</w:t>
            </w:r>
            <w:r w:rsidR="00B402AB">
              <w:rPr>
                <w:kern w:val="2"/>
                <w:szCs w:val="24"/>
              </w:rPr>
              <w:t>dvidešimt keturi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5E8B87C7" w14:textId="29E4C4D8" w:rsidR="00DB1BF2" w:rsidRPr="00DB1BF2" w:rsidRDefault="00F8555E" w:rsidP="00006BDB">
            <w:pPr>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w:t>
            </w:r>
            <w:r>
              <w:rPr>
                <w:rFonts w:eastAsiaTheme="minorHAnsi" w:cstheme="minorBidi"/>
                <w:kern w:val="2"/>
                <w:szCs w:val="22"/>
                <w14:ligatures w14:val="standardContextual"/>
              </w:rPr>
              <w:lastRenderedPageBreak/>
              <w:t xml:space="preserve">(ar) atitinkamai paženklintos, arba atitiktis standartams, pagal kuriuos įrodoma, kad pakuočių medžiagos perdirbamos pvz., standartas LST EN 13432 „Pakuotė. Naudotų pakuočių, numatomų kompostuoti ir biologiškai skaidyti, reikalavimai.“, standartas </w:t>
            </w:r>
            <w:r>
              <w:rPr>
                <w:rFonts w:eastAsiaTheme="minorHAnsi" w:cstheme="minorBidi"/>
                <w:kern w:val="2"/>
                <w:szCs w:val="22"/>
                <w:lang w:val="en-US"/>
                <w14:ligatures w14:val="standardContextual"/>
              </w:rPr>
              <w:t xml:space="preserve">Voluntary Standard for Repulping and Recycling Corrugated Fiberboard Treated to Improve Its Performance in the Presence of Water and Water Vapor, </w:t>
            </w:r>
            <w:proofErr w:type="spellStart"/>
            <w:r>
              <w:rPr>
                <w:rFonts w:eastAsiaTheme="minorHAnsi" w:cstheme="minorBidi"/>
                <w:kern w:val="2"/>
                <w:szCs w:val="22"/>
                <w:lang w:val="en-US"/>
                <w14:ligatures w14:val="standardContextual"/>
              </w:rPr>
              <w:t>standartas</w:t>
            </w:r>
            <w:proofErr w:type="spellEnd"/>
            <w:r>
              <w:rPr>
                <w:rFonts w:eastAsiaTheme="minorHAnsi" w:cstheme="minorBidi"/>
                <w:kern w:val="2"/>
                <w:szCs w:val="22"/>
                <w:lang w:val="en-US"/>
                <w14:ligatures w14:val="standardContextual"/>
              </w:rPr>
              <w:t xml:space="preserve"> </w:t>
            </w:r>
            <w:proofErr w:type="spellStart"/>
            <w:r>
              <w:rPr>
                <w:rFonts w:eastAsiaTheme="minorHAnsi" w:cstheme="minorBidi"/>
                <w:kern w:val="2"/>
                <w:szCs w:val="22"/>
                <w:lang w:val="en-US"/>
                <w14:ligatures w14:val="standardContextual"/>
              </w:rPr>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B90937">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Pr="0046751A" w:rsidRDefault="0014352F" w:rsidP="0014352F">
      <w:pPr>
        <w:jc w:val="center"/>
        <w:rPr>
          <w:b/>
          <w:bCs/>
          <w:iCs/>
          <w:szCs w:val="24"/>
        </w:rPr>
      </w:pPr>
      <w:r w:rsidRPr="004C6076">
        <w:rPr>
          <w:b/>
          <w:bCs/>
          <w:iCs/>
          <w:szCs w:val="24"/>
        </w:rPr>
        <w:t xml:space="preserve">TECHNINĖ SPECIFIKACIJA IR </w:t>
      </w:r>
      <w:r>
        <w:rPr>
          <w:b/>
          <w:bCs/>
          <w:iCs/>
          <w:szCs w:val="24"/>
        </w:rPr>
        <w:t>ĮKAINIAI</w:t>
      </w:r>
    </w:p>
    <w:p w14:paraId="66718CC9" w14:textId="77777777" w:rsidR="0014352F" w:rsidRPr="003E7AA5" w:rsidRDefault="0014352F" w:rsidP="0014352F">
      <w:pPr>
        <w:jc w:val="center"/>
        <w:rPr>
          <w:sz w:val="22"/>
          <w:szCs w:val="22"/>
        </w:rPr>
      </w:pPr>
      <w:r w:rsidRPr="003E7AA5">
        <w:rPr>
          <w:b/>
          <w:bCs/>
          <w:sz w:val="22"/>
          <w:szCs w:val="22"/>
        </w:rPr>
        <w:t>„Specialios mitybos mišiniai, kompensuojami iš Retų ligų fondo (10370)“</w:t>
      </w:r>
    </w:p>
    <w:p w14:paraId="2D32E858" w14:textId="77777777" w:rsidR="0014352F" w:rsidRDefault="0014352F" w:rsidP="0014352F">
      <w:pPr>
        <w:jc w:val="both"/>
        <w:rPr>
          <w:b/>
          <w:bCs/>
          <w:sz w:val="22"/>
          <w:szCs w:val="22"/>
        </w:rPr>
      </w:pPr>
    </w:p>
    <w:p w14:paraId="150842FA" w14:textId="77777777" w:rsidR="0014352F" w:rsidRPr="003E7AA5" w:rsidRDefault="0014352F" w:rsidP="0014352F">
      <w:pPr>
        <w:jc w:val="both"/>
        <w:rPr>
          <w:b/>
          <w:bCs/>
          <w:sz w:val="22"/>
          <w:szCs w:val="22"/>
        </w:rPr>
      </w:pPr>
      <w:r w:rsidRPr="003E7AA5">
        <w:rPr>
          <w:b/>
          <w:bCs/>
          <w:sz w:val="22"/>
          <w:szCs w:val="22"/>
        </w:rPr>
        <w:t>1. Bendrieji reikalavimai:</w:t>
      </w:r>
    </w:p>
    <w:p w14:paraId="78FE1D79" w14:textId="77777777" w:rsidR="0014352F" w:rsidRPr="003E7AA5" w:rsidRDefault="0014352F" w:rsidP="0014352F">
      <w:pPr>
        <w:jc w:val="both"/>
        <w:rPr>
          <w:sz w:val="22"/>
          <w:szCs w:val="22"/>
        </w:rPr>
      </w:pPr>
      <w:r w:rsidRPr="003E7AA5">
        <w:rPr>
          <w:sz w:val="22"/>
          <w:szCs w:val="22"/>
        </w:rPr>
        <w:t>1. 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47BDB50D" w14:textId="77777777" w:rsidR="0014352F" w:rsidRPr="003E7AA5" w:rsidRDefault="0014352F" w:rsidP="0014352F">
      <w:pPr>
        <w:jc w:val="both"/>
        <w:rPr>
          <w:sz w:val="22"/>
          <w:szCs w:val="22"/>
        </w:rPr>
      </w:pPr>
      <w:r w:rsidRPr="003E7AA5">
        <w:rPr>
          <w:sz w:val="22"/>
          <w:szCs w:val="22"/>
        </w:rPr>
        <w:t xml:space="preserve">2. Nurodyti produktai perkami, gavus Valstybinės ligonių kasos prie Sveikatos apsaugos ministerijos garantinius raštus gydymo tais produktais kompensavimui. </w:t>
      </w:r>
    </w:p>
    <w:p w14:paraId="53D78492" w14:textId="77777777" w:rsidR="0014352F" w:rsidRDefault="0014352F" w:rsidP="0014352F">
      <w:pPr>
        <w:jc w:val="both"/>
        <w:rPr>
          <w:sz w:val="22"/>
          <w:szCs w:val="22"/>
        </w:rPr>
      </w:pPr>
      <w:r w:rsidRPr="003E7AA5">
        <w:rPr>
          <w:sz w:val="22"/>
          <w:szCs w:val="22"/>
        </w:rPr>
        <w:t xml:space="preserve">3. Pristatomų prekių galiojimo terminas turi būti ne trumpesnis kaip 6 (šeši) mėnesiai iki galiojimo termino pabaigos. </w:t>
      </w:r>
    </w:p>
    <w:p w14:paraId="0E05AE82" w14:textId="77777777" w:rsidR="0014352F" w:rsidRDefault="0014352F" w:rsidP="0014352F">
      <w:pPr>
        <w:jc w:val="center"/>
        <w:rPr>
          <w:sz w:val="22"/>
          <w:szCs w:val="22"/>
        </w:rPr>
      </w:pPr>
    </w:p>
    <w:p w14:paraId="0B04600F" w14:textId="77777777" w:rsidR="0014352F" w:rsidRPr="000C436E" w:rsidRDefault="0014352F" w:rsidP="0014352F">
      <w:pPr>
        <w:jc w:val="center"/>
        <w:rPr>
          <w:b/>
          <w:bCs/>
          <w:sz w:val="22"/>
          <w:szCs w:val="22"/>
        </w:rPr>
      </w:pPr>
      <w:r w:rsidRPr="000C436E">
        <w:rPr>
          <w:b/>
          <w:bCs/>
          <w:sz w:val="22"/>
          <w:szCs w:val="22"/>
        </w:rPr>
        <w:t>SPECIALIOS MEDICININĖS PASKIRTIES MITYBOS MIŠINIAI, KOMPENSUOJAMI IŠ RETŲ LIGŲ FONDO</w:t>
      </w:r>
    </w:p>
    <w:tbl>
      <w:tblPr>
        <w:tblStyle w:val="TableGrid"/>
        <w:tblW w:w="15620" w:type="dxa"/>
        <w:jc w:val="center"/>
        <w:tblLook w:val="04A0" w:firstRow="1" w:lastRow="0" w:firstColumn="1" w:lastColumn="0" w:noHBand="0" w:noVBand="1"/>
      </w:tblPr>
      <w:tblGrid>
        <w:gridCol w:w="953"/>
        <w:gridCol w:w="1985"/>
        <w:gridCol w:w="1842"/>
        <w:gridCol w:w="926"/>
        <w:gridCol w:w="1341"/>
        <w:gridCol w:w="2252"/>
        <w:gridCol w:w="2603"/>
        <w:gridCol w:w="1276"/>
        <w:gridCol w:w="1187"/>
        <w:gridCol w:w="1255"/>
      </w:tblGrid>
      <w:tr w:rsidR="0014352F" w:rsidRPr="00BA7060" w14:paraId="63CA4BB2" w14:textId="77777777" w:rsidTr="00B63F07">
        <w:trPr>
          <w:trHeight w:val="1976"/>
          <w:jc w:val="center"/>
        </w:trPr>
        <w:tc>
          <w:tcPr>
            <w:tcW w:w="953" w:type="dxa"/>
            <w:vAlign w:val="center"/>
          </w:tcPr>
          <w:p w14:paraId="41E5E715" w14:textId="77777777" w:rsidR="0014352F" w:rsidRPr="00BA7060" w:rsidRDefault="0014352F" w:rsidP="00A90CDD">
            <w:pPr>
              <w:jc w:val="center"/>
              <w:rPr>
                <w:sz w:val="22"/>
                <w:szCs w:val="22"/>
              </w:rPr>
            </w:pPr>
            <w:r w:rsidRPr="00BA7060">
              <w:rPr>
                <w:color w:val="000000"/>
                <w:sz w:val="22"/>
                <w:szCs w:val="22"/>
                <w:lang w:eastAsia="lt-LT"/>
              </w:rPr>
              <w:t>Pirkimo dalies Nr.</w:t>
            </w:r>
          </w:p>
        </w:tc>
        <w:tc>
          <w:tcPr>
            <w:tcW w:w="1985" w:type="dxa"/>
            <w:vAlign w:val="center"/>
          </w:tcPr>
          <w:p w14:paraId="2BDEDCFB" w14:textId="77777777" w:rsidR="0014352F" w:rsidRPr="00BA7060" w:rsidRDefault="0014352F" w:rsidP="00A90CDD">
            <w:pPr>
              <w:jc w:val="center"/>
              <w:rPr>
                <w:sz w:val="22"/>
                <w:szCs w:val="22"/>
              </w:rPr>
            </w:pPr>
            <w:r w:rsidRPr="00BA7060">
              <w:rPr>
                <w:color w:val="000000"/>
                <w:sz w:val="22"/>
                <w:szCs w:val="22"/>
                <w:lang w:eastAsia="lt-LT"/>
              </w:rPr>
              <w:t>Pirkimo objekto pavadinimas</w:t>
            </w:r>
          </w:p>
        </w:tc>
        <w:tc>
          <w:tcPr>
            <w:tcW w:w="1842" w:type="dxa"/>
            <w:vAlign w:val="center"/>
          </w:tcPr>
          <w:p w14:paraId="1FD0668C" w14:textId="77777777" w:rsidR="0014352F" w:rsidRPr="00BA7060" w:rsidRDefault="0014352F" w:rsidP="00A90CDD">
            <w:pPr>
              <w:jc w:val="center"/>
              <w:rPr>
                <w:sz w:val="22"/>
                <w:szCs w:val="22"/>
              </w:rPr>
            </w:pPr>
            <w:r w:rsidRPr="00BA7060">
              <w:rPr>
                <w:color w:val="000000"/>
                <w:sz w:val="22"/>
                <w:szCs w:val="22"/>
                <w:lang w:eastAsia="lt-LT"/>
              </w:rPr>
              <w:t>Reikalavimai</w:t>
            </w:r>
          </w:p>
        </w:tc>
        <w:tc>
          <w:tcPr>
            <w:tcW w:w="926" w:type="dxa"/>
            <w:vAlign w:val="center"/>
          </w:tcPr>
          <w:p w14:paraId="18FAC8C7" w14:textId="77777777" w:rsidR="0014352F" w:rsidRPr="00BA7060" w:rsidRDefault="0014352F" w:rsidP="00A90CDD">
            <w:pPr>
              <w:jc w:val="center"/>
              <w:rPr>
                <w:sz w:val="22"/>
                <w:szCs w:val="22"/>
              </w:rPr>
            </w:pPr>
            <w:r w:rsidRPr="00BA7060">
              <w:rPr>
                <w:color w:val="000000"/>
                <w:sz w:val="22"/>
                <w:szCs w:val="22"/>
                <w:lang w:eastAsia="lt-LT"/>
              </w:rPr>
              <w:t>Mato  vnt.</w:t>
            </w:r>
          </w:p>
        </w:tc>
        <w:tc>
          <w:tcPr>
            <w:tcW w:w="1341" w:type="dxa"/>
            <w:vAlign w:val="center"/>
          </w:tcPr>
          <w:p w14:paraId="67F52B72" w14:textId="77777777" w:rsidR="0014352F" w:rsidRPr="00BA7060" w:rsidRDefault="0014352F" w:rsidP="00A90CDD">
            <w:pPr>
              <w:jc w:val="center"/>
              <w:rPr>
                <w:sz w:val="22"/>
                <w:szCs w:val="22"/>
              </w:rPr>
            </w:pPr>
            <w:r w:rsidRPr="00BA7060">
              <w:rPr>
                <w:color w:val="000000"/>
                <w:sz w:val="22"/>
                <w:szCs w:val="22"/>
                <w:lang w:eastAsia="lt-LT"/>
              </w:rPr>
              <w:t>Preliminarus kiekis (24 mėn.)</w:t>
            </w:r>
          </w:p>
        </w:tc>
        <w:tc>
          <w:tcPr>
            <w:tcW w:w="2252" w:type="dxa"/>
            <w:vAlign w:val="center"/>
          </w:tcPr>
          <w:p w14:paraId="4390943F" w14:textId="77777777" w:rsidR="0014352F" w:rsidRPr="00BA7060" w:rsidRDefault="0014352F" w:rsidP="00A90CDD">
            <w:pPr>
              <w:jc w:val="center"/>
              <w:rPr>
                <w:sz w:val="22"/>
                <w:szCs w:val="22"/>
              </w:rPr>
            </w:pPr>
            <w:r w:rsidRPr="00BA7060">
              <w:rPr>
                <w:color w:val="000000"/>
                <w:sz w:val="22"/>
                <w:szCs w:val="22"/>
                <w:lang w:eastAsia="lt-LT"/>
              </w:rPr>
              <w:t>Siūlomos prekės atitikimas nustatytiems reikalavimams</w:t>
            </w:r>
          </w:p>
        </w:tc>
        <w:tc>
          <w:tcPr>
            <w:tcW w:w="2603" w:type="dxa"/>
            <w:vAlign w:val="center"/>
          </w:tcPr>
          <w:p w14:paraId="1C941AF1" w14:textId="77777777" w:rsidR="0014352F" w:rsidRPr="00BA7060" w:rsidRDefault="0014352F" w:rsidP="00A90CDD">
            <w:pPr>
              <w:jc w:val="center"/>
              <w:rPr>
                <w:sz w:val="22"/>
                <w:szCs w:val="22"/>
              </w:rPr>
            </w:pPr>
            <w:r w:rsidRPr="00BA7060">
              <w:rPr>
                <w:color w:val="000000"/>
                <w:sz w:val="22"/>
                <w:szCs w:val="22"/>
                <w:lang w:eastAsia="lt-LT"/>
              </w:rPr>
              <w:t>Firminis prekės pavadinimas, siūloma pakuotė, gamintojas</w:t>
            </w:r>
          </w:p>
        </w:tc>
        <w:tc>
          <w:tcPr>
            <w:tcW w:w="1276" w:type="dxa"/>
            <w:vAlign w:val="center"/>
          </w:tcPr>
          <w:p w14:paraId="78DA5229" w14:textId="77777777" w:rsidR="0014352F" w:rsidRPr="00BA7060" w:rsidRDefault="0014352F" w:rsidP="00A90CDD">
            <w:pPr>
              <w:jc w:val="center"/>
              <w:rPr>
                <w:sz w:val="22"/>
                <w:szCs w:val="22"/>
              </w:rPr>
            </w:pPr>
            <w:r w:rsidRPr="00BA7060">
              <w:rPr>
                <w:color w:val="000000"/>
                <w:sz w:val="22"/>
                <w:szCs w:val="22"/>
                <w:lang w:eastAsia="lt-LT"/>
              </w:rPr>
              <w:t>Vieno mato vnt. kaina Eur be PVM</w:t>
            </w:r>
          </w:p>
        </w:tc>
        <w:tc>
          <w:tcPr>
            <w:tcW w:w="1187" w:type="dxa"/>
            <w:vAlign w:val="center"/>
          </w:tcPr>
          <w:p w14:paraId="6A8EDB17" w14:textId="77777777" w:rsidR="0014352F" w:rsidRPr="00BA7060" w:rsidRDefault="0014352F" w:rsidP="00A90CDD">
            <w:pPr>
              <w:jc w:val="center"/>
              <w:rPr>
                <w:sz w:val="22"/>
                <w:szCs w:val="22"/>
              </w:rPr>
            </w:pPr>
            <w:r w:rsidRPr="00BA7060">
              <w:rPr>
                <w:color w:val="000000"/>
                <w:sz w:val="22"/>
                <w:szCs w:val="22"/>
                <w:lang w:eastAsia="lt-LT"/>
              </w:rPr>
              <w:t>PVM tarifas %</w:t>
            </w:r>
          </w:p>
        </w:tc>
        <w:tc>
          <w:tcPr>
            <w:tcW w:w="1255" w:type="dxa"/>
            <w:vAlign w:val="center"/>
          </w:tcPr>
          <w:p w14:paraId="0577E64A" w14:textId="77777777" w:rsidR="0014352F" w:rsidRPr="00BA7060" w:rsidRDefault="0014352F" w:rsidP="00A90CDD">
            <w:pPr>
              <w:jc w:val="center"/>
              <w:rPr>
                <w:color w:val="000000"/>
                <w:sz w:val="22"/>
                <w:szCs w:val="22"/>
                <w:lang w:eastAsia="lt-LT"/>
              </w:rPr>
            </w:pPr>
            <w:r w:rsidRPr="00BA7060">
              <w:rPr>
                <w:color w:val="000000"/>
                <w:sz w:val="22"/>
                <w:szCs w:val="22"/>
                <w:lang w:eastAsia="lt-LT"/>
              </w:rPr>
              <w:t>Bendra suma Eur be PVM</w:t>
            </w:r>
          </w:p>
        </w:tc>
      </w:tr>
      <w:tr w:rsidR="0014352F" w:rsidRPr="00BA7060" w14:paraId="76F2C822" w14:textId="77777777" w:rsidTr="00B63F07">
        <w:trPr>
          <w:trHeight w:val="313"/>
          <w:jc w:val="center"/>
        </w:trPr>
        <w:tc>
          <w:tcPr>
            <w:tcW w:w="953" w:type="dxa"/>
            <w:vAlign w:val="center"/>
          </w:tcPr>
          <w:p w14:paraId="62C6C8F3" w14:textId="77777777" w:rsidR="0014352F" w:rsidRPr="00BA7060" w:rsidRDefault="0014352F" w:rsidP="00A90CDD">
            <w:pPr>
              <w:jc w:val="both"/>
              <w:rPr>
                <w:sz w:val="22"/>
                <w:szCs w:val="22"/>
              </w:rPr>
            </w:pPr>
          </w:p>
        </w:tc>
        <w:tc>
          <w:tcPr>
            <w:tcW w:w="1985" w:type="dxa"/>
            <w:vAlign w:val="center"/>
          </w:tcPr>
          <w:p w14:paraId="7F17F195" w14:textId="77777777" w:rsidR="0014352F" w:rsidRPr="00BA7060" w:rsidRDefault="0014352F" w:rsidP="00A90CDD">
            <w:pPr>
              <w:jc w:val="both"/>
              <w:rPr>
                <w:sz w:val="22"/>
                <w:szCs w:val="22"/>
              </w:rPr>
            </w:pPr>
          </w:p>
        </w:tc>
        <w:tc>
          <w:tcPr>
            <w:tcW w:w="1842" w:type="dxa"/>
            <w:vAlign w:val="center"/>
          </w:tcPr>
          <w:p w14:paraId="549BE321" w14:textId="77777777" w:rsidR="0014352F" w:rsidRPr="00BA7060" w:rsidRDefault="0014352F" w:rsidP="00A90CDD">
            <w:pPr>
              <w:jc w:val="both"/>
              <w:rPr>
                <w:sz w:val="22"/>
                <w:szCs w:val="22"/>
              </w:rPr>
            </w:pPr>
          </w:p>
        </w:tc>
        <w:tc>
          <w:tcPr>
            <w:tcW w:w="926" w:type="dxa"/>
            <w:vAlign w:val="center"/>
          </w:tcPr>
          <w:p w14:paraId="7B654885" w14:textId="77777777" w:rsidR="0014352F" w:rsidRPr="00BA7060" w:rsidRDefault="0014352F" w:rsidP="00A90CDD">
            <w:pPr>
              <w:jc w:val="both"/>
              <w:rPr>
                <w:sz w:val="22"/>
                <w:szCs w:val="22"/>
              </w:rPr>
            </w:pPr>
          </w:p>
        </w:tc>
        <w:tc>
          <w:tcPr>
            <w:tcW w:w="1341" w:type="dxa"/>
            <w:vAlign w:val="center"/>
          </w:tcPr>
          <w:p w14:paraId="779C06DB" w14:textId="77777777" w:rsidR="0014352F" w:rsidRPr="00BA7060" w:rsidRDefault="0014352F" w:rsidP="00A90CDD">
            <w:pPr>
              <w:jc w:val="both"/>
              <w:rPr>
                <w:sz w:val="22"/>
                <w:szCs w:val="22"/>
              </w:rPr>
            </w:pPr>
          </w:p>
        </w:tc>
        <w:tc>
          <w:tcPr>
            <w:tcW w:w="2252" w:type="dxa"/>
            <w:vAlign w:val="center"/>
          </w:tcPr>
          <w:p w14:paraId="37BFF92B" w14:textId="77777777" w:rsidR="0014352F" w:rsidRPr="00BA7060" w:rsidRDefault="0014352F" w:rsidP="00A90CDD">
            <w:pPr>
              <w:jc w:val="both"/>
              <w:rPr>
                <w:sz w:val="22"/>
                <w:szCs w:val="22"/>
              </w:rPr>
            </w:pPr>
          </w:p>
        </w:tc>
        <w:tc>
          <w:tcPr>
            <w:tcW w:w="2603" w:type="dxa"/>
            <w:vAlign w:val="center"/>
          </w:tcPr>
          <w:p w14:paraId="5AC6B8F7" w14:textId="77777777" w:rsidR="0014352F" w:rsidRPr="00BA7060" w:rsidRDefault="0014352F" w:rsidP="00A90CDD">
            <w:pPr>
              <w:jc w:val="both"/>
              <w:rPr>
                <w:sz w:val="22"/>
                <w:szCs w:val="22"/>
              </w:rPr>
            </w:pPr>
          </w:p>
        </w:tc>
        <w:tc>
          <w:tcPr>
            <w:tcW w:w="1276" w:type="dxa"/>
            <w:vAlign w:val="center"/>
          </w:tcPr>
          <w:p w14:paraId="14B2CD79" w14:textId="77777777" w:rsidR="0014352F" w:rsidRPr="00BA7060" w:rsidRDefault="0014352F" w:rsidP="00A90CDD">
            <w:pPr>
              <w:jc w:val="both"/>
              <w:rPr>
                <w:sz w:val="22"/>
                <w:szCs w:val="22"/>
              </w:rPr>
            </w:pPr>
          </w:p>
        </w:tc>
        <w:tc>
          <w:tcPr>
            <w:tcW w:w="1187" w:type="dxa"/>
            <w:vAlign w:val="center"/>
          </w:tcPr>
          <w:p w14:paraId="2A816A75" w14:textId="77777777" w:rsidR="0014352F" w:rsidRPr="00BA7060" w:rsidRDefault="0014352F" w:rsidP="00A90CDD">
            <w:pPr>
              <w:jc w:val="both"/>
              <w:rPr>
                <w:sz w:val="22"/>
                <w:szCs w:val="22"/>
              </w:rPr>
            </w:pPr>
          </w:p>
        </w:tc>
        <w:tc>
          <w:tcPr>
            <w:tcW w:w="1255" w:type="dxa"/>
            <w:vAlign w:val="center"/>
          </w:tcPr>
          <w:p w14:paraId="41DDD9A1" w14:textId="77777777" w:rsidR="0014352F" w:rsidRPr="00BA7060" w:rsidRDefault="0014352F" w:rsidP="00A90CDD">
            <w:pPr>
              <w:jc w:val="both"/>
              <w:rPr>
                <w:sz w:val="22"/>
                <w:szCs w:val="22"/>
              </w:rPr>
            </w:pPr>
          </w:p>
        </w:tc>
      </w:tr>
      <w:tr w:rsidR="0014352F" w:rsidRPr="00BA7060" w14:paraId="42B66EC9" w14:textId="77777777" w:rsidTr="00B63F07">
        <w:trPr>
          <w:trHeight w:val="294"/>
          <w:jc w:val="center"/>
        </w:trPr>
        <w:tc>
          <w:tcPr>
            <w:tcW w:w="14365" w:type="dxa"/>
            <w:gridSpan w:val="9"/>
            <w:vAlign w:val="center"/>
          </w:tcPr>
          <w:p w14:paraId="5AF4A79A" w14:textId="77777777" w:rsidR="0014352F" w:rsidRDefault="0014352F" w:rsidP="00A90CDD">
            <w:pPr>
              <w:jc w:val="right"/>
              <w:rPr>
                <w:sz w:val="20"/>
                <w:lang w:eastAsia="lt-LT"/>
              </w:rPr>
            </w:pPr>
            <w:r w:rsidRPr="004417CA">
              <w:rPr>
                <w:sz w:val="20"/>
                <w:lang w:eastAsia="lt-LT"/>
              </w:rPr>
              <w:t>Pradinės sutarties/sutarties dalies vertė EUR be PVM</w:t>
            </w:r>
          </w:p>
          <w:p w14:paraId="76CEA478" w14:textId="77777777" w:rsidR="0014352F" w:rsidRPr="00BA7060" w:rsidRDefault="0014352F" w:rsidP="00A90CDD">
            <w:pPr>
              <w:jc w:val="right"/>
              <w:rPr>
                <w:sz w:val="22"/>
                <w:szCs w:val="22"/>
              </w:rPr>
            </w:pPr>
            <w:r>
              <w:rPr>
                <w:sz w:val="20"/>
                <w:lang w:eastAsia="lt-LT"/>
              </w:rPr>
              <w:t>(</w:t>
            </w:r>
            <w:r w:rsidRPr="004417CA">
              <w:rPr>
                <w:i/>
                <w:iCs/>
                <w:sz w:val="20"/>
                <w:lang w:eastAsia="lt-LT"/>
              </w:rPr>
              <w:t>planuojama skirti pirkimui / pirkimo daliai lėšų suma Eur be PVM</w:t>
            </w:r>
            <w:r>
              <w:rPr>
                <w:sz w:val="20"/>
                <w:lang w:eastAsia="lt-LT"/>
              </w:rPr>
              <w:t>)</w:t>
            </w:r>
          </w:p>
        </w:tc>
        <w:tc>
          <w:tcPr>
            <w:tcW w:w="1255" w:type="dxa"/>
            <w:vAlign w:val="center"/>
          </w:tcPr>
          <w:p w14:paraId="70889484" w14:textId="77777777" w:rsidR="0014352F" w:rsidRPr="00BA7060" w:rsidRDefault="0014352F" w:rsidP="00A90CDD">
            <w:pPr>
              <w:jc w:val="both"/>
              <w:rPr>
                <w:sz w:val="22"/>
                <w:szCs w:val="22"/>
              </w:rPr>
            </w:pPr>
          </w:p>
        </w:tc>
      </w:tr>
      <w:tr w:rsidR="0014352F" w:rsidRPr="00BA7060" w14:paraId="07A0D2F1" w14:textId="77777777" w:rsidTr="00B63F07">
        <w:trPr>
          <w:trHeight w:val="313"/>
          <w:jc w:val="center"/>
        </w:trPr>
        <w:tc>
          <w:tcPr>
            <w:tcW w:w="14365" w:type="dxa"/>
            <w:gridSpan w:val="9"/>
            <w:vAlign w:val="center"/>
          </w:tcPr>
          <w:p w14:paraId="6BC4DEF9" w14:textId="77777777" w:rsidR="0014352F" w:rsidRPr="00BA7060" w:rsidRDefault="0014352F" w:rsidP="00A90CDD">
            <w:pPr>
              <w:jc w:val="right"/>
              <w:rPr>
                <w:sz w:val="22"/>
                <w:szCs w:val="22"/>
              </w:rPr>
            </w:pPr>
            <w:r w:rsidRPr="004417CA">
              <w:rPr>
                <w:sz w:val="20"/>
                <w:lang w:eastAsia="lt-LT"/>
              </w:rPr>
              <w:t>PVM suma, Eur</w:t>
            </w:r>
          </w:p>
        </w:tc>
        <w:tc>
          <w:tcPr>
            <w:tcW w:w="1255" w:type="dxa"/>
            <w:vAlign w:val="center"/>
          </w:tcPr>
          <w:p w14:paraId="7AAADB02" w14:textId="77777777" w:rsidR="0014352F" w:rsidRPr="00BA7060" w:rsidRDefault="0014352F" w:rsidP="00A90CDD">
            <w:pPr>
              <w:jc w:val="both"/>
              <w:rPr>
                <w:sz w:val="22"/>
                <w:szCs w:val="22"/>
              </w:rPr>
            </w:pPr>
          </w:p>
        </w:tc>
      </w:tr>
      <w:tr w:rsidR="0014352F" w:rsidRPr="00BA7060" w14:paraId="3FCBF9ED" w14:textId="77777777" w:rsidTr="00B63F07">
        <w:trPr>
          <w:trHeight w:val="294"/>
          <w:jc w:val="center"/>
        </w:trPr>
        <w:tc>
          <w:tcPr>
            <w:tcW w:w="14365" w:type="dxa"/>
            <w:gridSpan w:val="9"/>
            <w:vAlign w:val="center"/>
          </w:tcPr>
          <w:p w14:paraId="3FC91ABA" w14:textId="77777777" w:rsidR="0014352F" w:rsidRPr="004417CA" w:rsidRDefault="0014352F" w:rsidP="00A90CDD">
            <w:pPr>
              <w:jc w:val="right"/>
              <w:rPr>
                <w:sz w:val="20"/>
                <w:lang w:eastAsia="lt-LT"/>
              </w:rPr>
            </w:pPr>
            <w:r w:rsidRPr="004417CA">
              <w:rPr>
                <w:sz w:val="20"/>
                <w:lang w:eastAsia="lt-LT"/>
              </w:rPr>
              <w:t>Sutarties/sutarties dalies kaina EUR su PVM</w:t>
            </w:r>
          </w:p>
          <w:p w14:paraId="21132DBC" w14:textId="77777777" w:rsidR="0014352F" w:rsidRPr="00BA7060" w:rsidRDefault="0014352F" w:rsidP="00A90CDD">
            <w:pPr>
              <w:jc w:val="right"/>
              <w:rPr>
                <w:sz w:val="22"/>
                <w:szCs w:val="22"/>
              </w:rPr>
            </w:pPr>
            <w:r w:rsidRPr="004417CA">
              <w:rPr>
                <w:sz w:val="20"/>
                <w:lang w:eastAsia="lt-LT"/>
              </w:rPr>
              <w:t>(</w:t>
            </w:r>
            <w:r w:rsidRPr="004417CA">
              <w:rPr>
                <w:i/>
                <w:iCs/>
                <w:sz w:val="20"/>
                <w:lang w:eastAsia="lt-LT"/>
              </w:rPr>
              <w:t>planuojama skirti pirkimui/ pirkimo daliai lėšų suma Eur su PVM</w:t>
            </w:r>
            <w:r w:rsidRPr="004417CA">
              <w:rPr>
                <w:sz w:val="20"/>
                <w:lang w:eastAsia="lt-LT"/>
              </w:rPr>
              <w:t>)</w:t>
            </w:r>
          </w:p>
        </w:tc>
        <w:tc>
          <w:tcPr>
            <w:tcW w:w="1255" w:type="dxa"/>
            <w:vAlign w:val="center"/>
          </w:tcPr>
          <w:p w14:paraId="77CE48CE" w14:textId="77777777" w:rsidR="0014352F" w:rsidRPr="00BA7060" w:rsidRDefault="0014352F" w:rsidP="00A90CDD">
            <w:pPr>
              <w:jc w:val="both"/>
              <w:rPr>
                <w:sz w:val="22"/>
                <w:szCs w:val="22"/>
              </w:rPr>
            </w:pPr>
          </w:p>
        </w:tc>
      </w:tr>
    </w:tbl>
    <w:p w14:paraId="0E980776" w14:textId="77777777" w:rsidR="00281EE2" w:rsidRPr="0046751A" w:rsidRDefault="00281EE2" w:rsidP="0046751A">
      <w:pPr>
        <w:tabs>
          <w:tab w:val="left" w:pos="3255"/>
        </w:tabs>
        <w:rPr>
          <w:sz w:val="22"/>
          <w:szCs w:val="22"/>
        </w:rPr>
      </w:pPr>
    </w:p>
    <w:sectPr w:rsidR="00281EE2" w:rsidRPr="0046751A" w:rsidSect="00281EE2">
      <w:pgSz w:w="16838" w:h="11906" w:orient="landscape" w:code="9"/>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E8EE" w14:textId="77777777" w:rsidR="00E70F86" w:rsidRDefault="00E70F86">
      <w:r>
        <w:separator/>
      </w:r>
    </w:p>
  </w:endnote>
  <w:endnote w:type="continuationSeparator" w:id="0">
    <w:p w14:paraId="242E0062" w14:textId="77777777" w:rsidR="00E70F86" w:rsidRDefault="00E7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58AE" w14:textId="77777777" w:rsidR="00E70F86" w:rsidRDefault="00E70F86">
      <w:r>
        <w:separator/>
      </w:r>
    </w:p>
  </w:footnote>
  <w:footnote w:type="continuationSeparator" w:id="0">
    <w:p w14:paraId="122100B9" w14:textId="77777777" w:rsidR="00E70F86" w:rsidRDefault="00E7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8570E"/>
    <w:rsid w:val="000916A4"/>
    <w:rsid w:val="0009582F"/>
    <w:rsid w:val="000B2105"/>
    <w:rsid w:val="000C09BD"/>
    <w:rsid w:val="000C3CE2"/>
    <w:rsid w:val="000C5214"/>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4352F"/>
    <w:rsid w:val="00165E00"/>
    <w:rsid w:val="00165E27"/>
    <w:rsid w:val="00181D70"/>
    <w:rsid w:val="00197E1E"/>
    <w:rsid w:val="001A3986"/>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64463"/>
    <w:rsid w:val="00270F85"/>
    <w:rsid w:val="00274E34"/>
    <w:rsid w:val="00281EE2"/>
    <w:rsid w:val="00285BB5"/>
    <w:rsid w:val="002943E8"/>
    <w:rsid w:val="00297A80"/>
    <w:rsid w:val="002A7511"/>
    <w:rsid w:val="002B5AEE"/>
    <w:rsid w:val="002C06CD"/>
    <w:rsid w:val="002C0CDF"/>
    <w:rsid w:val="002C4751"/>
    <w:rsid w:val="002C70F8"/>
    <w:rsid w:val="002D5DE2"/>
    <w:rsid w:val="002E6350"/>
    <w:rsid w:val="002F0B5F"/>
    <w:rsid w:val="002F15BC"/>
    <w:rsid w:val="00305C2D"/>
    <w:rsid w:val="00307192"/>
    <w:rsid w:val="00313A75"/>
    <w:rsid w:val="00314888"/>
    <w:rsid w:val="00317A46"/>
    <w:rsid w:val="00321250"/>
    <w:rsid w:val="00327348"/>
    <w:rsid w:val="00333E2A"/>
    <w:rsid w:val="0033481E"/>
    <w:rsid w:val="00342B64"/>
    <w:rsid w:val="0034453E"/>
    <w:rsid w:val="00346A65"/>
    <w:rsid w:val="0035734D"/>
    <w:rsid w:val="0036581E"/>
    <w:rsid w:val="0036762B"/>
    <w:rsid w:val="00382EDC"/>
    <w:rsid w:val="00384BB5"/>
    <w:rsid w:val="003873C2"/>
    <w:rsid w:val="003900BC"/>
    <w:rsid w:val="003A1760"/>
    <w:rsid w:val="003A31EE"/>
    <w:rsid w:val="003A5338"/>
    <w:rsid w:val="003C2ED5"/>
    <w:rsid w:val="003C43DF"/>
    <w:rsid w:val="003E0D8B"/>
    <w:rsid w:val="003E3B7D"/>
    <w:rsid w:val="003E7AA5"/>
    <w:rsid w:val="003F0B3A"/>
    <w:rsid w:val="003F44E1"/>
    <w:rsid w:val="003F6DD0"/>
    <w:rsid w:val="00400F4E"/>
    <w:rsid w:val="00405C3D"/>
    <w:rsid w:val="0043243C"/>
    <w:rsid w:val="00436D09"/>
    <w:rsid w:val="004373F3"/>
    <w:rsid w:val="004417CA"/>
    <w:rsid w:val="004449A4"/>
    <w:rsid w:val="0044589B"/>
    <w:rsid w:val="0045096D"/>
    <w:rsid w:val="004577C7"/>
    <w:rsid w:val="00461B5F"/>
    <w:rsid w:val="004646E3"/>
    <w:rsid w:val="0046751A"/>
    <w:rsid w:val="004734FE"/>
    <w:rsid w:val="0048448F"/>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1203"/>
    <w:rsid w:val="005A72AE"/>
    <w:rsid w:val="005B5486"/>
    <w:rsid w:val="005B61D1"/>
    <w:rsid w:val="005D52AC"/>
    <w:rsid w:val="005D6EBE"/>
    <w:rsid w:val="005E4A3F"/>
    <w:rsid w:val="005F2EA8"/>
    <w:rsid w:val="005F61A5"/>
    <w:rsid w:val="005F7C50"/>
    <w:rsid w:val="0061416F"/>
    <w:rsid w:val="006526B4"/>
    <w:rsid w:val="00653077"/>
    <w:rsid w:val="00656F37"/>
    <w:rsid w:val="00661F81"/>
    <w:rsid w:val="0068054A"/>
    <w:rsid w:val="0068231C"/>
    <w:rsid w:val="00686855"/>
    <w:rsid w:val="006869CC"/>
    <w:rsid w:val="006A04A1"/>
    <w:rsid w:val="006B2956"/>
    <w:rsid w:val="006B41CA"/>
    <w:rsid w:val="006B7A32"/>
    <w:rsid w:val="006C6B32"/>
    <w:rsid w:val="006E36CD"/>
    <w:rsid w:val="006F43CA"/>
    <w:rsid w:val="006F5384"/>
    <w:rsid w:val="006F7C62"/>
    <w:rsid w:val="00703224"/>
    <w:rsid w:val="00712554"/>
    <w:rsid w:val="0072100A"/>
    <w:rsid w:val="0072381E"/>
    <w:rsid w:val="00733D18"/>
    <w:rsid w:val="0073789A"/>
    <w:rsid w:val="00743FC2"/>
    <w:rsid w:val="00744B05"/>
    <w:rsid w:val="00760288"/>
    <w:rsid w:val="00770110"/>
    <w:rsid w:val="00776478"/>
    <w:rsid w:val="007775E2"/>
    <w:rsid w:val="00786752"/>
    <w:rsid w:val="007A07E4"/>
    <w:rsid w:val="007A6FF6"/>
    <w:rsid w:val="007A7607"/>
    <w:rsid w:val="007B1063"/>
    <w:rsid w:val="007B2588"/>
    <w:rsid w:val="007B2BDF"/>
    <w:rsid w:val="007C0899"/>
    <w:rsid w:val="007E65D2"/>
    <w:rsid w:val="007E7A0D"/>
    <w:rsid w:val="007F4A31"/>
    <w:rsid w:val="008018B2"/>
    <w:rsid w:val="00801BAF"/>
    <w:rsid w:val="00802B24"/>
    <w:rsid w:val="00811AEB"/>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4692A"/>
    <w:rsid w:val="00A47B45"/>
    <w:rsid w:val="00A51215"/>
    <w:rsid w:val="00A5275D"/>
    <w:rsid w:val="00A612C3"/>
    <w:rsid w:val="00A62478"/>
    <w:rsid w:val="00A62E3B"/>
    <w:rsid w:val="00A7016C"/>
    <w:rsid w:val="00A77A86"/>
    <w:rsid w:val="00A8462F"/>
    <w:rsid w:val="00A85011"/>
    <w:rsid w:val="00AA0448"/>
    <w:rsid w:val="00AA6242"/>
    <w:rsid w:val="00AB09FF"/>
    <w:rsid w:val="00AB336B"/>
    <w:rsid w:val="00AC148C"/>
    <w:rsid w:val="00AC299B"/>
    <w:rsid w:val="00AD6743"/>
    <w:rsid w:val="00B01FF7"/>
    <w:rsid w:val="00B050D8"/>
    <w:rsid w:val="00B1053A"/>
    <w:rsid w:val="00B11709"/>
    <w:rsid w:val="00B15840"/>
    <w:rsid w:val="00B224DD"/>
    <w:rsid w:val="00B246EF"/>
    <w:rsid w:val="00B33821"/>
    <w:rsid w:val="00B402AB"/>
    <w:rsid w:val="00B44B3B"/>
    <w:rsid w:val="00B50598"/>
    <w:rsid w:val="00B520DB"/>
    <w:rsid w:val="00B6078C"/>
    <w:rsid w:val="00B63F07"/>
    <w:rsid w:val="00B70EEF"/>
    <w:rsid w:val="00B84F40"/>
    <w:rsid w:val="00B90937"/>
    <w:rsid w:val="00BA2056"/>
    <w:rsid w:val="00BA3AC1"/>
    <w:rsid w:val="00BB5336"/>
    <w:rsid w:val="00BC0FDE"/>
    <w:rsid w:val="00BC7AA9"/>
    <w:rsid w:val="00BD1365"/>
    <w:rsid w:val="00BD18CC"/>
    <w:rsid w:val="00BD6F87"/>
    <w:rsid w:val="00BE03EB"/>
    <w:rsid w:val="00BE5726"/>
    <w:rsid w:val="00BE6E5C"/>
    <w:rsid w:val="00C06FD6"/>
    <w:rsid w:val="00C10354"/>
    <w:rsid w:val="00C11983"/>
    <w:rsid w:val="00C13E0E"/>
    <w:rsid w:val="00C157A6"/>
    <w:rsid w:val="00C30EB0"/>
    <w:rsid w:val="00C4039B"/>
    <w:rsid w:val="00C445AB"/>
    <w:rsid w:val="00C5103F"/>
    <w:rsid w:val="00C52BED"/>
    <w:rsid w:val="00C5359D"/>
    <w:rsid w:val="00C6056B"/>
    <w:rsid w:val="00C9266C"/>
    <w:rsid w:val="00C926F1"/>
    <w:rsid w:val="00CA18DA"/>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F145B"/>
    <w:rsid w:val="00DF38C7"/>
    <w:rsid w:val="00E00AA6"/>
    <w:rsid w:val="00E02FA7"/>
    <w:rsid w:val="00E041A4"/>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F86"/>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0392"/>
    <w:rsid w:val="00EF3DE0"/>
    <w:rsid w:val="00EF6E4C"/>
    <w:rsid w:val="00F0786C"/>
    <w:rsid w:val="00F1574B"/>
    <w:rsid w:val="00F22B56"/>
    <w:rsid w:val="00F3673B"/>
    <w:rsid w:val="00F449B2"/>
    <w:rsid w:val="00F45E2C"/>
    <w:rsid w:val="00F50030"/>
    <w:rsid w:val="00F6256B"/>
    <w:rsid w:val="00F628FE"/>
    <w:rsid w:val="00F677F6"/>
    <w:rsid w:val="00F8555E"/>
    <w:rsid w:val="00F9157D"/>
    <w:rsid w:val="00FA14C6"/>
    <w:rsid w:val="00FB060D"/>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0C7EAD"/>
    <w:rsid w:val="00147AA3"/>
    <w:rsid w:val="001A74F4"/>
    <w:rsid w:val="001D0015"/>
    <w:rsid w:val="001F1EAF"/>
    <w:rsid w:val="00202434"/>
    <w:rsid w:val="0021760A"/>
    <w:rsid w:val="002210A7"/>
    <w:rsid w:val="002943E8"/>
    <w:rsid w:val="003F4D66"/>
    <w:rsid w:val="0044153A"/>
    <w:rsid w:val="00461B5F"/>
    <w:rsid w:val="004A1811"/>
    <w:rsid w:val="004F2F78"/>
    <w:rsid w:val="007E2DFD"/>
    <w:rsid w:val="007F0C61"/>
    <w:rsid w:val="00925E00"/>
    <w:rsid w:val="00B323A9"/>
    <w:rsid w:val="00B64D64"/>
    <w:rsid w:val="00B84F40"/>
    <w:rsid w:val="00BA3AC1"/>
    <w:rsid w:val="00BD1365"/>
    <w:rsid w:val="00C5103F"/>
    <w:rsid w:val="00D861E1"/>
    <w:rsid w:val="00F07189"/>
    <w:rsid w:val="00F36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15492</Words>
  <Characters>8832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187</cp:revision>
  <dcterms:created xsi:type="dcterms:W3CDTF">2025-05-22T06:27:00Z</dcterms:created>
  <dcterms:modified xsi:type="dcterms:W3CDTF">2025-10-28T08:22:00Z</dcterms:modified>
</cp:coreProperties>
</file>