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507F52" w:rsidP="00B50198">
      <w:pPr>
        <w:jc w:val="center"/>
        <w:rPr>
          <w:rFonts w:asciiTheme="majorHAnsi" w:hAnsiTheme="majorHAnsi"/>
          <w:b/>
          <w:bCs/>
          <w:sz w:val="22"/>
          <w:szCs w:val="22"/>
          <w:lang w:val="lt-LT"/>
        </w:rPr>
      </w:pPr>
      <w:r>
        <w:rPr>
          <w:rFonts w:asciiTheme="majorHAnsi" w:hAnsiTheme="majorHAnsi"/>
          <w:b/>
          <w:bCs/>
          <w:sz w:val="22"/>
          <w:szCs w:val="22"/>
          <w:lang w:val="lt-LT"/>
        </w:rPr>
        <w:t>HEMODIALIZĖS APARATAI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507F52">
        <w:rPr>
          <w:rFonts w:asciiTheme="majorHAnsi" w:hAnsiTheme="majorHAnsi"/>
          <w:b/>
          <w:bCs/>
          <w:color w:val="4F81BD" w:themeColor="accent1"/>
          <w:sz w:val="22"/>
          <w:szCs w:val="22"/>
          <w:lang w:val="lt-LT"/>
        </w:rPr>
        <w:t>hemodializės aparatus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507F52">
        <w:rPr>
          <w:rFonts w:asciiTheme="majorHAnsi" w:hAnsiTheme="majorHAnsi"/>
          <w:b/>
          <w:bCs/>
          <w:color w:val="4F81BD" w:themeColor="accent1"/>
          <w:sz w:val="22"/>
          <w:szCs w:val="22"/>
          <w:lang w:val="lt-LT"/>
        </w:rPr>
        <w:t>hemodializės aparatai</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507F52">
        <w:rPr>
          <w:rFonts w:asciiTheme="majorHAnsi" w:hAnsiTheme="majorHAnsi"/>
          <w:b/>
          <w:sz w:val="22"/>
          <w:szCs w:val="22"/>
        </w:rPr>
        <w:t>76.800,00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BC1120" w:rsidRPr="0084583A" w:rsidRDefault="008E1CCD" w:rsidP="0084583A">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8F177A">
        <w:rPr>
          <w:rFonts w:asciiTheme="majorHAnsi" w:hAnsiTheme="majorHAnsi"/>
          <w:bCs/>
          <w:i/>
        </w:rPr>
        <w:t>hemodializės aparatų</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8F177A">
        <w:rPr>
          <w:rFonts w:asciiTheme="majorHAnsi" w:hAnsiTheme="majorHAnsi"/>
          <w:i/>
          <w:noProof/>
          <w:szCs w:val="24"/>
          <w:shd w:val="clear" w:color="auto" w:fill="FFFFFF"/>
        </w:rPr>
        <w:t>4588615</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0E7A9B" w:rsidRPr="001114F6" w:rsidRDefault="000E7A9B" w:rsidP="000E7A9B">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Šis pirkimas nėra skaidomas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Pr="00A810CD">
        <w:rPr>
          <w:rFonts w:ascii="Cambria" w:hAnsi="Cambria"/>
        </w:rPr>
        <w:t>k</w:t>
      </w:r>
      <w:r w:rsidRPr="00A810CD">
        <w:rPr>
          <w:rFonts w:ascii="Cambria" w:hAnsi="Cambria"/>
          <w:shd w:val="clear" w:color="auto" w:fill="FFFFFF"/>
        </w:rPr>
        <w:t>iekybiniu pagrindu skaidant pirkimą į atskiras pirkimo dalis ekonomiškai nenaudinga. Perkant didesnį  prekių kiekį, gamintojai tiekėjams</w:t>
      </w:r>
      <w:r w:rsidRPr="00AB3399">
        <w:rPr>
          <w:rFonts w:ascii="Cambria" w:hAnsi="Cambria"/>
          <w:shd w:val="clear" w:color="auto" w:fill="FFFFFF"/>
        </w:rPr>
        <w:t xml:space="preserve"> suteikia didesnes kainos nuolaidas ir tiekėjai gali pigiau pasiūlyti prekes.  </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0972EE"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972EE"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0972EE"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0972EE"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0972EE"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229C9" w:rsidRPr="003033A9" w:rsidRDefault="00E229C9"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5D35BB">
        <w:rPr>
          <w:rFonts w:asciiTheme="majorHAnsi" w:hAnsiTheme="majorHAnsi" w:cs="Times New Roman"/>
          <w:color w:val="auto"/>
        </w:rPr>
        <w:t xml:space="preserve">5.4. </w:t>
      </w:r>
      <w:r w:rsidRPr="005D35BB">
        <w:rPr>
          <w:rFonts w:asciiTheme="majorHAnsi" w:hAnsiTheme="majorHAnsi" w:cs="Times New Roman"/>
          <w:iCs/>
          <w:color w:val="auto"/>
        </w:rPr>
        <w:t xml:space="preserve">Pasiūlymas turi būti pateiktas iki </w:t>
      </w:r>
      <w:r w:rsidR="00AA5E63" w:rsidRPr="005D35BB">
        <w:rPr>
          <w:rFonts w:asciiTheme="majorHAnsi" w:hAnsiTheme="majorHAnsi" w:cs="Times New Roman"/>
          <w:b/>
          <w:iCs/>
          <w:color w:val="548DD4" w:themeColor="text2" w:themeTint="99"/>
        </w:rPr>
        <w:t>2025</w:t>
      </w:r>
      <w:r w:rsidRPr="005D35BB">
        <w:rPr>
          <w:rFonts w:asciiTheme="majorHAnsi" w:hAnsiTheme="majorHAnsi" w:cs="Times New Roman"/>
          <w:b/>
          <w:iCs/>
          <w:color w:val="548DD4" w:themeColor="text2" w:themeTint="99"/>
        </w:rPr>
        <w:t xml:space="preserve"> m. </w:t>
      </w:r>
      <w:r w:rsidR="00F75747" w:rsidRPr="005D35BB">
        <w:rPr>
          <w:rFonts w:asciiTheme="majorHAnsi" w:hAnsiTheme="majorHAnsi" w:cs="Times New Roman"/>
          <w:b/>
          <w:iCs/>
          <w:color w:val="548DD4" w:themeColor="text2" w:themeTint="99"/>
        </w:rPr>
        <w:t xml:space="preserve">gruodžio </w:t>
      </w:r>
      <w:r w:rsidR="005D35BB" w:rsidRPr="005D35BB">
        <w:rPr>
          <w:rFonts w:asciiTheme="majorHAnsi" w:hAnsiTheme="majorHAnsi" w:cs="Times New Roman"/>
          <w:b/>
          <w:iCs/>
          <w:color w:val="548DD4" w:themeColor="text2" w:themeTint="99"/>
        </w:rPr>
        <w:t>3</w:t>
      </w:r>
      <w:r w:rsidR="00F21792" w:rsidRPr="005D35BB">
        <w:rPr>
          <w:rFonts w:asciiTheme="majorHAnsi" w:hAnsiTheme="majorHAnsi" w:cs="Times New Roman"/>
          <w:b/>
          <w:iCs/>
          <w:color w:val="548DD4" w:themeColor="text2" w:themeTint="99"/>
        </w:rPr>
        <w:t xml:space="preserve"> </w:t>
      </w:r>
      <w:r w:rsidRPr="005D35BB">
        <w:rPr>
          <w:rFonts w:asciiTheme="majorHAnsi" w:hAnsiTheme="majorHAnsi" w:cs="Times New Roman"/>
          <w:b/>
          <w:iCs/>
          <w:color w:val="548DD4" w:themeColor="text2" w:themeTint="99"/>
        </w:rPr>
        <w:t>d.</w:t>
      </w:r>
      <w:r w:rsidR="00E958C2" w:rsidRPr="005D35BB">
        <w:rPr>
          <w:rFonts w:asciiTheme="majorHAnsi" w:hAnsiTheme="majorHAnsi" w:cs="Times New Roman"/>
          <w:b/>
          <w:iCs/>
          <w:color w:val="548DD4" w:themeColor="text2" w:themeTint="99"/>
        </w:rPr>
        <w:t xml:space="preserve"> 0</w:t>
      </w:r>
      <w:r w:rsidR="00F21792" w:rsidRPr="005D35BB">
        <w:rPr>
          <w:rFonts w:asciiTheme="majorHAnsi" w:hAnsiTheme="majorHAnsi" w:cs="Times New Roman"/>
          <w:b/>
          <w:iCs/>
          <w:color w:val="548DD4" w:themeColor="text2" w:themeTint="99"/>
        </w:rPr>
        <w:t>8</w:t>
      </w:r>
      <w:r w:rsidR="005823A0" w:rsidRPr="005D35BB">
        <w:rPr>
          <w:rFonts w:asciiTheme="majorHAnsi" w:hAnsiTheme="majorHAnsi" w:cs="Times New Roman"/>
          <w:b/>
          <w:iCs/>
          <w:color w:val="548DD4" w:themeColor="text2" w:themeTint="99"/>
        </w:rPr>
        <w:t xml:space="preserve"> val. 00</w:t>
      </w:r>
      <w:r w:rsidRPr="005D35BB">
        <w:rPr>
          <w:rFonts w:asciiTheme="majorHAnsi" w:hAnsiTheme="majorHAnsi" w:cs="Times New Roman"/>
          <w:b/>
          <w:iCs/>
          <w:color w:val="548DD4" w:themeColor="text2" w:themeTint="99"/>
        </w:rPr>
        <w:t xml:space="preserve"> min.</w:t>
      </w:r>
      <w:r w:rsidRPr="005D35B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5D35BB">
        <w:rPr>
          <w:rFonts w:asciiTheme="majorHAnsi" w:hAnsiTheme="majorHAnsi" w:cs="Times New Roman"/>
          <w:lang w:val="it-IT"/>
        </w:rPr>
        <w:t xml:space="preserve">trumpiau </w:t>
      </w:r>
      <w:r w:rsidRPr="005D35BB">
        <w:rPr>
          <w:rFonts w:asciiTheme="majorHAnsi" w:hAnsiTheme="majorHAnsi" w:cs="Times New Roman"/>
          <w:lang w:val="lt-LT"/>
        </w:rPr>
        <w:t xml:space="preserve">kaip iki </w:t>
      </w:r>
      <w:r w:rsidR="00AF145C" w:rsidRPr="005D35BB">
        <w:rPr>
          <w:rFonts w:asciiTheme="majorHAnsi" w:hAnsiTheme="majorHAnsi" w:cs="Times New Roman"/>
          <w:b/>
          <w:color w:val="548DD4" w:themeColor="text2" w:themeTint="99"/>
          <w:lang w:val="lt-LT"/>
        </w:rPr>
        <w:t>202</w:t>
      </w:r>
      <w:r w:rsidR="00692844" w:rsidRPr="005D35BB">
        <w:rPr>
          <w:rFonts w:asciiTheme="majorHAnsi" w:hAnsiTheme="majorHAnsi" w:cs="Times New Roman"/>
          <w:b/>
          <w:color w:val="548DD4" w:themeColor="text2" w:themeTint="99"/>
          <w:lang w:val="lt-LT"/>
        </w:rPr>
        <w:t>6-</w:t>
      </w:r>
      <w:r w:rsidR="00F75747" w:rsidRPr="005D35BB">
        <w:rPr>
          <w:rFonts w:asciiTheme="majorHAnsi" w:hAnsiTheme="majorHAnsi" w:cs="Times New Roman"/>
          <w:b/>
          <w:color w:val="548DD4" w:themeColor="text2" w:themeTint="99"/>
          <w:lang w:val="lt-LT"/>
        </w:rPr>
        <w:t>04-</w:t>
      </w:r>
      <w:r w:rsidR="005D35BB" w:rsidRPr="005D35BB">
        <w:rPr>
          <w:rFonts w:asciiTheme="majorHAnsi" w:hAnsiTheme="majorHAnsi" w:cs="Times New Roman"/>
          <w:b/>
          <w:color w:val="548DD4" w:themeColor="text2" w:themeTint="99"/>
          <w:lang w:val="lt-LT"/>
        </w:rPr>
        <w:t>03</w:t>
      </w:r>
      <w:r w:rsidR="00805DD4" w:rsidRPr="005D35BB">
        <w:rPr>
          <w:rFonts w:asciiTheme="majorHAnsi" w:hAnsiTheme="majorHAnsi" w:cs="Times New Roman"/>
          <w:b/>
          <w:color w:val="548DD4" w:themeColor="text2" w:themeTint="99"/>
          <w:lang w:val="lt-LT"/>
        </w:rPr>
        <w:t>.</w:t>
      </w:r>
      <w:r w:rsidRPr="005D35BB">
        <w:rPr>
          <w:rFonts w:asciiTheme="majorHAnsi" w:hAnsiTheme="majorHAnsi" w:cs="Times New Roman"/>
          <w:lang w:val="pt-PT"/>
        </w:rPr>
        <w:t xml:space="preserve"> Jeigu pasi</w:t>
      </w:r>
      <w:r w:rsidRPr="005D35B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w:t>
      </w:r>
      <w:r w:rsidR="000700D0">
        <w:rPr>
          <w:rFonts w:asciiTheme="majorHAnsi" w:eastAsia="Times New Roman" w:hAnsiTheme="majorHAnsi"/>
          <w:b/>
          <w:sz w:val="22"/>
          <w:szCs w:val="22"/>
        </w:rPr>
        <w:t>s</w:t>
      </w:r>
      <w:r w:rsidR="00CD5FC2" w:rsidRPr="003714C3">
        <w:rPr>
          <w:rFonts w:asciiTheme="majorHAnsi" w:eastAsia="Times New Roman" w:hAnsiTheme="majorHAnsi"/>
          <w:b/>
          <w:sz w:val="22"/>
          <w:szCs w:val="22"/>
        </w:rPr>
        <w:t xml:space="preserve"> </w:t>
      </w:r>
      <w:r w:rsidR="000700D0">
        <w:rPr>
          <w:rFonts w:asciiTheme="majorHAnsi" w:eastAsia="Times New Roman" w:hAnsiTheme="majorHAnsi"/>
          <w:b/>
          <w:sz w:val="22"/>
          <w:szCs w:val="22"/>
        </w:rPr>
        <w:t>prekės</w:t>
      </w:r>
      <w:r w:rsidR="00CD5FC2" w:rsidRPr="003714C3">
        <w:rPr>
          <w:rFonts w:asciiTheme="majorHAnsi" w:eastAsia="Times New Roman" w:hAnsiTheme="majorHAnsi"/>
          <w:b/>
          <w:sz w:val="22"/>
          <w:szCs w:val="22"/>
        </w:rPr>
        <w:t xml:space="preserve"> atitikimą pirkimo objektui keliamiems reikalavimams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 xml:space="preserve">Originaliame gamintojo dokumente privalo būti atžyma, kurį techninės </w:t>
      </w:r>
      <w:r w:rsidRPr="003714C3">
        <w:rPr>
          <w:rFonts w:asciiTheme="majorHAnsi" w:hAnsiTheme="majorHAnsi"/>
          <w:b/>
          <w:sz w:val="22"/>
          <w:szCs w:val="22"/>
          <w:u w:val="single"/>
        </w:rPr>
        <w:lastRenderedPageBreak/>
        <w:t>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4583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84583A" w:rsidRPr="001F5F6A" w:rsidRDefault="0084583A" w:rsidP="0084583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5D35BB">
        <w:rPr>
          <w:rFonts w:asciiTheme="majorHAnsi" w:hAnsiTheme="majorHAnsi"/>
          <w:b/>
          <w:iCs/>
          <w:color w:val="548DD4" w:themeColor="text2" w:themeTint="99"/>
          <w:sz w:val="22"/>
          <w:szCs w:val="22"/>
        </w:rPr>
        <w:t>2025</w:t>
      </w:r>
      <w:r w:rsidRPr="005D35BB">
        <w:rPr>
          <w:rFonts w:asciiTheme="majorHAnsi" w:hAnsiTheme="majorHAnsi"/>
          <w:b/>
          <w:iCs/>
          <w:color w:val="548DD4" w:themeColor="text2" w:themeTint="99"/>
          <w:sz w:val="22"/>
          <w:szCs w:val="22"/>
        </w:rPr>
        <w:t xml:space="preserve"> m.</w:t>
      </w:r>
      <w:r w:rsidR="00BE67E8" w:rsidRPr="005D35BB">
        <w:rPr>
          <w:rFonts w:asciiTheme="majorHAnsi" w:hAnsiTheme="majorHAnsi"/>
          <w:b/>
          <w:iCs/>
          <w:color w:val="548DD4" w:themeColor="text2" w:themeTint="99"/>
          <w:sz w:val="22"/>
          <w:szCs w:val="22"/>
        </w:rPr>
        <w:t xml:space="preserve"> </w:t>
      </w:r>
      <w:r w:rsidR="00F75747" w:rsidRPr="005D35BB">
        <w:rPr>
          <w:rFonts w:asciiTheme="majorHAnsi" w:hAnsiTheme="majorHAnsi"/>
          <w:b/>
          <w:iCs/>
          <w:color w:val="548DD4" w:themeColor="text2" w:themeTint="99"/>
          <w:sz w:val="22"/>
          <w:szCs w:val="22"/>
        </w:rPr>
        <w:t xml:space="preserve">gruodžio </w:t>
      </w:r>
      <w:r w:rsidR="005D35BB" w:rsidRPr="005D35BB">
        <w:rPr>
          <w:rFonts w:asciiTheme="majorHAnsi" w:hAnsiTheme="majorHAnsi"/>
          <w:b/>
          <w:iCs/>
          <w:color w:val="548DD4" w:themeColor="text2" w:themeTint="99"/>
          <w:sz w:val="22"/>
          <w:szCs w:val="22"/>
        </w:rPr>
        <w:t>3</w:t>
      </w:r>
      <w:r w:rsidR="002B1E54" w:rsidRPr="005D35BB">
        <w:rPr>
          <w:rFonts w:asciiTheme="majorHAnsi" w:hAnsiTheme="majorHAnsi"/>
          <w:b/>
          <w:iCs/>
          <w:color w:val="548DD4" w:themeColor="text2" w:themeTint="99"/>
          <w:sz w:val="22"/>
          <w:szCs w:val="22"/>
        </w:rPr>
        <w:t xml:space="preserve"> </w:t>
      </w:r>
      <w:r w:rsidR="00E958C2" w:rsidRPr="005D35BB">
        <w:rPr>
          <w:rFonts w:asciiTheme="majorHAnsi" w:hAnsiTheme="majorHAnsi"/>
          <w:b/>
          <w:iCs/>
          <w:color w:val="548DD4" w:themeColor="text2" w:themeTint="99"/>
          <w:sz w:val="22"/>
          <w:szCs w:val="22"/>
        </w:rPr>
        <w:t>d. 0</w:t>
      </w:r>
      <w:r w:rsidR="00F21792" w:rsidRPr="005D35BB">
        <w:rPr>
          <w:rFonts w:asciiTheme="majorHAnsi" w:hAnsiTheme="majorHAnsi"/>
          <w:b/>
          <w:iCs/>
          <w:color w:val="548DD4" w:themeColor="text2" w:themeTint="99"/>
          <w:sz w:val="22"/>
          <w:szCs w:val="22"/>
        </w:rPr>
        <w:t>8</w:t>
      </w:r>
      <w:r w:rsidR="005823A0" w:rsidRPr="005D35BB">
        <w:rPr>
          <w:rFonts w:asciiTheme="majorHAnsi" w:hAnsiTheme="majorHAnsi"/>
          <w:b/>
          <w:iCs/>
          <w:color w:val="548DD4" w:themeColor="text2" w:themeTint="99"/>
          <w:sz w:val="22"/>
          <w:szCs w:val="22"/>
        </w:rPr>
        <w:t xml:space="preserve"> val. 30</w:t>
      </w:r>
      <w:r w:rsidRPr="005D35BB">
        <w:rPr>
          <w:rFonts w:asciiTheme="majorHAnsi" w:hAnsiTheme="majorHAnsi"/>
          <w:b/>
          <w:iCs/>
          <w:color w:val="548DD4" w:themeColor="text2" w:themeTint="99"/>
          <w:sz w:val="22"/>
          <w:szCs w:val="22"/>
        </w:rPr>
        <w:t xml:space="preserve"> min</w:t>
      </w:r>
      <w:r w:rsidRPr="005D35BB">
        <w:rPr>
          <w:rFonts w:asciiTheme="majorHAnsi" w:hAnsiTheme="majorHAnsi"/>
          <w:b/>
          <w:iCs/>
          <w:sz w:val="22"/>
          <w:szCs w:val="22"/>
        </w:rPr>
        <w:t>.</w:t>
      </w:r>
      <w:r w:rsidRPr="005D35BB">
        <w:rPr>
          <w:rFonts w:asciiTheme="majorHAnsi" w:hAnsiTheme="majorHAnsi"/>
          <w:iCs/>
          <w:sz w:val="22"/>
          <w:szCs w:val="22"/>
        </w:rPr>
        <w:t xml:space="preserve"> </w:t>
      </w:r>
      <w:r w:rsidRPr="005D35BB">
        <w:rPr>
          <w:rFonts w:asciiTheme="majorHAnsi" w:hAnsiTheme="majorHAnsi"/>
          <w:iCs/>
          <w:sz w:val="22"/>
          <w:szCs w:val="22"/>
          <w:u w:val="single"/>
        </w:rPr>
        <w:t xml:space="preserve">Jei pasiūlymas teikiamas šifruotas, slaptažodis turi būti pateiktas </w:t>
      </w:r>
      <w:r w:rsidR="009B3BF7" w:rsidRPr="005D35BB">
        <w:rPr>
          <w:rFonts w:asciiTheme="majorHAnsi" w:hAnsiTheme="majorHAnsi"/>
          <w:b/>
          <w:iCs/>
          <w:color w:val="548DD4" w:themeColor="text2" w:themeTint="99"/>
          <w:sz w:val="22"/>
          <w:szCs w:val="22"/>
          <w:u w:val="single"/>
        </w:rPr>
        <w:t>2025</w:t>
      </w:r>
      <w:r w:rsidR="005A189F" w:rsidRPr="005D35BB">
        <w:rPr>
          <w:rFonts w:asciiTheme="majorHAnsi" w:hAnsiTheme="majorHAnsi"/>
          <w:b/>
          <w:iCs/>
          <w:color w:val="548DD4" w:themeColor="text2" w:themeTint="99"/>
          <w:sz w:val="22"/>
          <w:szCs w:val="22"/>
          <w:u w:val="single"/>
        </w:rPr>
        <w:t xml:space="preserve"> m. </w:t>
      </w:r>
      <w:r w:rsidR="00F75747" w:rsidRPr="005D35BB">
        <w:rPr>
          <w:rFonts w:asciiTheme="majorHAnsi" w:hAnsiTheme="majorHAnsi"/>
          <w:b/>
          <w:iCs/>
          <w:color w:val="548DD4" w:themeColor="text2" w:themeTint="99"/>
          <w:sz w:val="22"/>
          <w:szCs w:val="22"/>
          <w:u w:val="single"/>
        </w:rPr>
        <w:t xml:space="preserve">gruodžio </w:t>
      </w:r>
      <w:r w:rsidR="005D35BB" w:rsidRPr="005D35BB">
        <w:rPr>
          <w:rFonts w:asciiTheme="majorHAnsi" w:hAnsiTheme="majorHAnsi"/>
          <w:b/>
          <w:iCs/>
          <w:color w:val="548DD4" w:themeColor="text2" w:themeTint="99"/>
          <w:sz w:val="22"/>
          <w:szCs w:val="22"/>
          <w:u w:val="single"/>
        </w:rPr>
        <w:t>3</w:t>
      </w:r>
      <w:r w:rsidR="00F21792" w:rsidRPr="005D35BB">
        <w:rPr>
          <w:rFonts w:asciiTheme="majorHAnsi" w:hAnsiTheme="majorHAnsi"/>
          <w:b/>
          <w:iCs/>
          <w:color w:val="548DD4" w:themeColor="text2" w:themeTint="99"/>
          <w:sz w:val="22"/>
          <w:szCs w:val="22"/>
          <w:u w:val="single"/>
        </w:rPr>
        <w:t xml:space="preserve"> </w:t>
      </w:r>
      <w:r w:rsidRPr="005D35BB">
        <w:rPr>
          <w:rFonts w:asciiTheme="majorHAnsi" w:hAnsiTheme="majorHAnsi"/>
          <w:b/>
          <w:iCs/>
          <w:color w:val="548DD4" w:themeColor="text2" w:themeTint="99"/>
          <w:sz w:val="22"/>
          <w:szCs w:val="22"/>
          <w:u w:val="single"/>
        </w:rPr>
        <w:t>d.</w:t>
      </w:r>
      <w:r w:rsidRPr="005D35BB">
        <w:rPr>
          <w:rFonts w:asciiTheme="majorHAnsi" w:hAnsiTheme="majorHAnsi"/>
          <w:iCs/>
          <w:color w:val="548DD4" w:themeColor="text2" w:themeTint="99"/>
          <w:sz w:val="22"/>
          <w:szCs w:val="22"/>
          <w:u w:val="single"/>
        </w:rPr>
        <w:t xml:space="preserve"> intervale </w:t>
      </w:r>
      <w:r w:rsidR="00E958C2" w:rsidRPr="005D35BB">
        <w:rPr>
          <w:rFonts w:asciiTheme="majorHAnsi" w:hAnsiTheme="majorHAnsi"/>
          <w:b/>
          <w:iCs/>
          <w:color w:val="548DD4" w:themeColor="text2" w:themeTint="99"/>
          <w:sz w:val="22"/>
          <w:szCs w:val="22"/>
          <w:u w:val="single"/>
        </w:rPr>
        <w:t>0</w:t>
      </w:r>
      <w:r w:rsidR="00F21792" w:rsidRPr="005D35BB">
        <w:rPr>
          <w:rFonts w:asciiTheme="majorHAnsi" w:hAnsiTheme="majorHAnsi"/>
          <w:b/>
          <w:iCs/>
          <w:color w:val="548DD4" w:themeColor="text2" w:themeTint="99"/>
          <w:sz w:val="22"/>
          <w:szCs w:val="22"/>
          <w:u w:val="single"/>
        </w:rPr>
        <w:t>8</w:t>
      </w:r>
      <w:r w:rsidR="005823A0" w:rsidRPr="005D35BB">
        <w:rPr>
          <w:rFonts w:asciiTheme="majorHAnsi" w:hAnsiTheme="majorHAnsi"/>
          <w:b/>
          <w:iCs/>
          <w:color w:val="548DD4" w:themeColor="text2" w:themeTint="99"/>
          <w:sz w:val="22"/>
          <w:szCs w:val="22"/>
          <w:u w:val="single"/>
        </w:rPr>
        <w:t>.00</w:t>
      </w:r>
      <w:r w:rsidR="00652BA3" w:rsidRPr="005D35BB">
        <w:rPr>
          <w:rFonts w:asciiTheme="majorHAnsi" w:hAnsiTheme="majorHAnsi"/>
          <w:b/>
          <w:iCs/>
          <w:color w:val="548DD4" w:themeColor="text2" w:themeTint="99"/>
          <w:sz w:val="22"/>
          <w:szCs w:val="22"/>
          <w:u w:val="single"/>
        </w:rPr>
        <w:t xml:space="preserve"> –</w:t>
      </w:r>
      <w:r w:rsidR="009B15AA" w:rsidRPr="005D35BB">
        <w:rPr>
          <w:rFonts w:asciiTheme="majorHAnsi" w:hAnsiTheme="majorHAnsi"/>
          <w:b/>
          <w:iCs/>
          <w:color w:val="548DD4" w:themeColor="text2" w:themeTint="99"/>
          <w:sz w:val="22"/>
          <w:szCs w:val="22"/>
          <w:u w:val="single"/>
        </w:rPr>
        <w:t xml:space="preserve"> </w:t>
      </w:r>
      <w:r w:rsidR="00E958C2" w:rsidRPr="005D35BB">
        <w:rPr>
          <w:rFonts w:asciiTheme="majorHAnsi" w:hAnsiTheme="majorHAnsi"/>
          <w:b/>
          <w:iCs/>
          <w:color w:val="548DD4" w:themeColor="text2" w:themeTint="99"/>
          <w:sz w:val="22"/>
          <w:szCs w:val="22"/>
          <w:u w:val="single"/>
        </w:rPr>
        <w:t>0</w:t>
      </w:r>
      <w:r w:rsidR="00F21792" w:rsidRPr="005D35BB">
        <w:rPr>
          <w:rFonts w:asciiTheme="majorHAnsi" w:hAnsiTheme="majorHAnsi"/>
          <w:b/>
          <w:iCs/>
          <w:color w:val="548DD4" w:themeColor="text2" w:themeTint="99"/>
          <w:sz w:val="22"/>
          <w:szCs w:val="22"/>
          <w:u w:val="single"/>
        </w:rPr>
        <w:t>8</w:t>
      </w:r>
      <w:r w:rsidR="005823A0" w:rsidRPr="005D35BB">
        <w:rPr>
          <w:rFonts w:asciiTheme="majorHAnsi" w:hAnsiTheme="majorHAnsi"/>
          <w:b/>
          <w:iCs/>
          <w:color w:val="548DD4" w:themeColor="text2" w:themeTint="99"/>
          <w:sz w:val="22"/>
          <w:szCs w:val="22"/>
          <w:u w:val="single"/>
        </w:rPr>
        <w:t>.30</w:t>
      </w:r>
      <w:r w:rsidRPr="005D35BB">
        <w:rPr>
          <w:rFonts w:asciiTheme="majorHAnsi" w:hAnsiTheme="majorHAnsi"/>
          <w:b/>
          <w:iCs/>
          <w:color w:val="548DD4" w:themeColor="text2" w:themeTint="99"/>
          <w:sz w:val="22"/>
          <w:szCs w:val="22"/>
          <w:u w:val="single"/>
        </w:rPr>
        <w:t xml:space="preserve"> val.</w:t>
      </w:r>
      <w:r w:rsidRPr="005D35BB">
        <w:rPr>
          <w:rFonts w:asciiTheme="majorHAnsi" w:hAnsiTheme="majorHAnsi"/>
          <w:b/>
          <w:iCs/>
          <w:sz w:val="22"/>
          <w:szCs w:val="22"/>
          <w:u w:val="single"/>
        </w:rPr>
        <w:t xml:space="preserve"> </w:t>
      </w:r>
      <w:r w:rsidRPr="005D35BB">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2" w:name="_Toc488306772"/>
      <w:r w:rsidRPr="003714C3">
        <w:rPr>
          <w:rFonts w:asciiTheme="majorHAnsi" w:hAnsiTheme="majorHAnsi"/>
          <w:b/>
          <w:sz w:val="22"/>
        </w:rPr>
        <w:t>ELEKTRONINIS AUKCIONAS</w:t>
      </w:r>
      <w:bookmarkEnd w:id="2"/>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3"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3"/>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4" w:name="_Hlk488957884"/>
      <w:r w:rsidRPr="003714C3">
        <w:rPr>
          <w:rFonts w:asciiTheme="majorHAnsi" w:hAnsiTheme="majorHAnsi" w:cs="Times New Roman"/>
        </w:rPr>
        <w:t xml:space="preserve">13.1.9. </w:t>
      </w:r>
      <w:bookmarkEnd w:id="4"/>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FA6318" w:rsidRPr="003714C3" w:rsidRDefault="00FA6318" w:rsidP="00FA6318">
      <w:pPr>
        <w:pStyle w:val="Heading"/>
        <w:jc w:val="center"/>
        <w:rPr>
          <w:rFonts w:asciiTheme="majorHAnsi" w:hAnsiTheme="majorHAnsi" w:cs="Times New Roman"/>
          <w:color w:val="auto"/>
        </w:rPr>
      </w:pPr>
    </w:p>
    <w:p w:rsidR="000A1E20" w:rsidRPr="003714C3" w:rsidRDefault="000A1E20" w:rsidP="000A1E20">
      <w:pPr>
        <w:pStyle w:val="Body2"/>
        <w:rPr>
          <w:rFonts w:asciiTheme="majorHAnsi" w:hAnsiTheme="majorHAnsi"/>
        </w:rPr>
      </w:pPr>
    </w:p>
    <w:p w:rsidR="000A1E20" w:rsidRDefault="000A1E20"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5" w:name="_Toc47844937"/>
      <w:bookmarkStart w:id="6" w:name="_Toc60525491"/>
      <w:bookmarkEnd w:id="5"/>
      <w:bookmarkEnd w:id="6"/>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7C5544" w:rsidRDefault="00C63E5B" w:rsidP="00C63E5B">
      <w:pPr>
        <w:pStyle w:val="Body2"/>
        <w:ind w:firstLine="1418"/>
        <w:rPr>
          <w:rFonts w:asciiTheme="majorHAnsi" w:hAnsiTheme="majorHAnsi"/>
          <w:noProof/>
          <w:lang w:val="lt-LT"/>
        </w:rPr>
      </w:pPr>
      <w:r w:rsidRPr="007C5544">
        <w:rPr>
          <w:rFonts w:asciiTheme="majorHAnsi" w:hAnsiTheme="majorHAnsi"/>
          <w:noProof/>
          <w:highlight w:val="green"/>
          <w:lang w:val="lt-LT"/>
        </w:rPr>
        <w:t xml:space="preserve">14.3. </w:t>
      </w:r>
      <w:r w:rsidRPr="007C5544">
        <w:rPr>
          <w:rFonts w:asciiTheme="majorHAnsi" w:hAnsiTheme="majorHAnsi"/>
          <w:highlight w:val="green"/>
        </w:rPr>
        <w:t xml:space="preserve">Didžiausia priimtina pasiūlymo kaina yra </w:t>
      </w:r>
      <w:r w:rsidR="00596451">
        <w:rPr>
          <w:rFonts w:asciiTheme="majorHAnsi" w:hAnsiTheme="majorHAnsi"/>
          <w:b/>
          <w:highlight w:val="green"/>
        </w:rPr>
        <w:t>76.800,00</w:t>
      </w:r>
      <w:r w:rsidRPr="007C5544">
        <w:rPr>
          <w:rFonts w:asciiTheme="majorHAnsi" w:hAnsiTheme="majorHAnsi"/>
          <w:b/>
          <w:highlight w:val="green"/>
        </w:rPr>
        <w:t xml:space="preserve"> Eur (su PVM)</w:t>
      </w:r>
      <w:r w:rsidR="001B15FE" w:rsidRPr="007C5544">
        <w:rPr>
          <w:rFonts w:asciiTheme="majorHAnsi" w:hAnsiTheme="majorHAnsi"/>
          <w:highlight w:val="green"/>
        </w:rPr>
        <w:t>. Š</w:t>
      </w:r>
      <w:r w:rsidRPr="007C5544">
        <w:rPr>
          <w:rFonts w:asciiTheme="majorHAnsi" w:hAnsiTheme="majorHAnsi"/>
          <w:highlight w:val="green"/>
        </w:rPr>
        <w:t>ią kainą viršijantys pasiūlymai bus atmesti</w:t>
      </w:r>
      <w:r w:rsidR="007C6FCE" w:rsidRPr="007C5544">
        <w:rPr>
          <w:rFonts w:asciiTheme="majorHAnsi" w:hAnsiTheme="majorHAnsi"/>
          <w:highlight w:val="green"/>
        </w:rPr>
        <w:t>.</w:t>
      </w:r>
    </w:p>
    <w:p w:rsidR="003714C3" w:rsidRPr="005D35BB" w:rsidRDefault="003714C3" w:rsidP="003714C3">
      <w:pPr>
        <w:suppressAutoHyphens/>
        <w:jc w:val="both"/>
        <w:rPr>
          <w:rFonts w:asciiTheme="majorHAnsi" w:hAnsiTheme="majorHAnsi"/>
          <w:sz w:val="22"/>
          <w:szCs w:val="22"/>
        </w:rPr>
      </w:pPr>
    </w:p>
    <w:p w:rsidR="004843E4" w:rsidRPr="005D35BB" w:rsidRDefault="004843E4" w:rsidP="004843E4">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5D35BB">
        <w:rPr>
          <w:rFonts w:asciiTheme="majorHAnsi" w:eastAsia="Arial Unicode MS" w:hAnsiTheme="majorHAnsi"/>
          <w:b/>
          <w:bCs/>
          <w:caps/>
          <w:spacing w:val="4"/>
          <w:bdr w:val="nil"/>
        </w:rPr>
        <w:t>PASIŪLYMŲ VERTINIMO KRITERIJAI</w:t>
      </w:r>
    </w:p>
    <w:p w:rsidR="004843E4" w:rsidRPr="005D35BB" w:rsidRDefault="004843E4" w:rsidP="004843E4">
      <w:pPr>
        <w:pStyle w:val="Sraopastraipa"/>
        <w:pBdr>
          <w:top w:val="nil"/>
          <w:left w:val="nil"/>
          <w:bottom w:val="nil"/>
          <w:right w:val="nil"/>
          <w:between w:val="nil"/>
          <w:bar w:val="nil"/>
        </w:pBdr>
        <w:suppressAutoHyphens/>
        <w:spacing w:after="0" w:line="240" w:lineRule="auto"/>
        <w:ind w:left="360"/>
        <w:jc w:val="both"/>
        <w:rPr>
          <w:rFonts w:asciiTheme="majorHAnsi" w:eastAsia="Arial Unicode MS" w:hAnsiTheme="majorHAnsi"/>
          <w:vanish/>
          <w:bdr w:val="nil"/>
        </w:rPr>
      </w:pPr>
    </w:p>
    <w:p w:rsidR="004843E4" w:rsidRPr="005D35BB" w:rsidRDefault="004843E4" w:rsidP="004843E4">
      <w:pPr>
        <w:suppressAutoHyphens/>
        <w:ind w:firstLine="567"/>
        <w:jc w:val="both"/>
        <w:rPr>
          <w:rFonts w:asciiTheme="majorHAnsi" w:hAnsiTheme="majorHAnsi"/>
          <w:sz w:val="22"/>
          <w:szCs w:val="22"/>
        </w:rPr>
      </w:pPr>
      <w:r w:rsidRPr="005D35BB">
        <w:rPr>
          <w:rFonts w:asciiTheme="majorHAnsi" w:hAnsiTheme="majorHAnsi"/>
          <w:sz w:val="22"/>
          <w:szCs w:val="22"/>
        </w:rPr>
        <w:t xml:space="preserve">Nustatomas maksimalus bendras balų skaičius – 100 balų. Kriterijų tarpusavio santykis bendrame bale yra nustatomas pagal lyginamuosius svorius: </w:t>
      </w:r>
    </w:p>
    <w:p w:rsidR="004843E4" w:rsidRPr="005D35BB" w:rsidRDefault="004843E4" w:rsidP="004843E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5D35BB">
        <w:rPr>
          <w:rFonts w:asciiTheme="majorHAnsi" w:eastAsia="Arial Unicode MS" w:hAnsiTheme="majorHAnsi"/>
          <w:bdr w:val="nil"/>
        </w:rPr>
        <w:t>kaina (K) – 70;</w:t>
      </w:r>
    </w:p>
    <w:p w:rsidR="004843E4" w:rsidRPr="005D35BB" w:rsidRDefault="004843E4" w:rsidP="004843E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5D35BB">
        <w:rPr>
          <w:rFonts w:asciiTheme="majorHAnsi" w:eastAsia="Arial Unicode MS" w:hAnsiTheme="majorHAnsi"/>
          <w:bdr w:val="nil"/>
        </w:rPr>
        <w:t>techniniai privalumai (T) – 30.</w:t>
      </w:r>
    </w:p>
    <w:p w:rsidR="004843E4" w:rsidRPr="005D35BB" w:rsidRDefault="004843E4" w:rsidP="004843E4">
      <w:pPr>
        <w:suppressAutoHyphens/>
        <w:jc w:val="both"/>
        <w:rPr>
          <w:rFonts w:asciiTheme="majorHAnsi" w:hAnsiTheme="majorHAnsi"/>
          <w:sz w:val="22"/>
          <w:szCs w:val="22"/>
        </w:rPr>
      </w:pPr>
    </w:p>
    <w:p w:rsidR="004843E4" w:rsidRPr="005D35BB" w:rsidRDefault="004843E4" w:rsidP="004843E4">
      <w:pPr>
        <w:ind w:left="567"/>
        <w:jc w:val="both"/>
        <w:rPr>
          <w:rFonts w:asciiTheme="majorHAnsi" w:hAnsiTheme="majorHAnsi"/>
          <w:sz w:val="22"/>
          <w:szCs w:val="22"/>
        </w:rPr>
      </w:pPr>
      <w:r w:rsidRPr="005D35BB">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518"/>
        <w:gridCol w:w="3498"/>
        <w:gridCol w:w="1618"/>
        <w:gridCol w:w="1420"/>
        <w:gridCol w:w="2568"/>
      </w:tblGrid>
      <w:tr w:rsidR="004843E4" w:rsidRPr="005D35BB" w:rsidTr="004843E4">
        <w:tc>
          <w:tcPr>
            <w:tcW w:w="2949"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
                <w:bCs/>
                <w:sz w:val="22"/>
                <w:szCs w:val="22"/>
              </w:rPr>
              <w:t>Vertinimo kriterijai</w:t>
            </w:r>
          </w:p>
        </w:tc>
        <w:tc>
          <w:tcPr>
            <w:tcW w:w="6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Parametro lyginamasis svoris</w:t>
            </w:r>
          </w:p>
        </w:tc>
        <w:tc>
          <w:tcPr>
            <w:tcW w:w="13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Lyginamasis svoris ekonominio naudingumo įvertinime</w:t>
            </w:r>
          </w:p>
        </w:tc>
      </w:tr>
      <w:tr w:rsidR="004843E4" w:rsidRPr="005D35BB" w:rsidTr="004843E4">
        <w:tc>
          <w:tcPr>
            <w:tcW w:w="3644"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
                <w:bCs/>
                <w:sz w:val="22"/>
                <w:szCs w:val="22"/>
              </w:rPr>
              <w:t>Kaina (K)</w:t>
            </w:r>
          </w:p>
        </w:tc>
        <w:tc>
          <w:tcPr>
            <w:tcW w:w="13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
                <w:bCs/>
                <w:sz w:val="22"/>
                <w:szCs w:val="22"/>
              </w:rPr>
              <w:t>X = 70</w:t>
            </w:r>
          </w:p>
        </w:tc>
      </w:tr>
      <w:tr w:rsidR="004843E4" w:rsidRPr="005D35BB" w:rsidTr="004843E4">
        <w:tc>
          <w:tcPr>
            <w:tcW w:w="3644"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Techniniai pranašumai (T)</w:t>
            </w:r>
          </w:p>
        </w:tc>
        <w:tc>
          <w:tcPr>
            <w:tcW w:w="13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
                <w:bCs/>
                <w:sz w:val="22"/>
                <w:szCs w:val="22"/>
              </w:rPr>
              <w:t>Y = 30</w:t>
            </w:r>
          </w:p>
        </w:tc>
      </w:tr>
      <w:tr w:rsidR="004843E4" w:rsidRPr="005D35BB" w:rsidTr="004843E4">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Nr.</w:t>
            </w:r>
          </w:p>
        </w:tc>
        <w:tc>
          <w:tcPr>
            <w:tcW w:w="18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Parametrai</w:t>
            </w:r>
          </w:p>
        </w:tc>
        <w:tc>
          <w:tcPr>
            <w:tcW w:w="151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4843E4" w:rsidRPr="005D35BB" w:rsidRDefault="004843E4" w:rsidP="0061290C">
            <w:pPr>
              <w:pStyle w:val="prastasiniatinklio"/>
              <w:jc w:val="both"/>
              <w:rPr>
                <w:rFonts w:asciiTheme="majorHAnsi" w:hAnsiTheme="majorHAnsi"/>
                <w:b/>
                <w:bCs/>
                <w:sz w:val="22"/>
                <w:szCs w:val="22"/>
              </w:rPr>
            </w:pPr>
            <w:r w:rsidRPr="005D35BB">
              <w:rPr>
                <w:rFonts w:asciiTheme="majorHAnsi" w:hAnsiTheme="majorHAnsi"/>
                <w:b/>
                <w:bCs/>
                <w:sz w:val="22"/>
                <w:szCs w:val="22"/>
              </w:rPr>
              <w:t>Vertinimo būdas</w:t>
            </w:r>
          </w:p>
        </w:tc>
        <w:tc>
          <w:tcPr>
            <w:tcW w:w="13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
                <w:bCs/>
                <w:sz w:val="22"/>
                <w:szCs w:val="22"/>
              </w:rPr>
            </w:pP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1</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lang w:bidi="lt-LT"/>
              </w:rPr>
            </w:pPr>
            <w:r w:rsidRPr="005D35BB">
              <w:rPr>
                <w:rFonts w:asciiTheme="majorHAnsi" w:hAnsiTheme="majorHAnsi"/>
                <w:bCs/>
                <w:sz w:val="22"/>
                <w:szCs w:val="22"/>
                <w:lang w:bidi="lt-LT"/>
              </w:rPr>
              <w:t xml:space="preserve">Įrangai suteikiama ilgesnė negu 24 mėn. garantija. </w:t>
            </w:r>
          </w:p>
          <w:p w:rsidR="004843E4" w:rsidRPr="005D35BB" w:rsidRDefault="004843E4" w:rsidP="0061290C">
            <w:pPr>
              <w:pStyle w:val="prastasiniatinklio"/>
              <w:jc w:val="both"/>
              <w:rPr>
                <w:rFonts w:asciiTheme="majorHAnsi" w:hAnsiTheme="majorHAnsi"/>
                <w:bCs/>
                <w:sz w:val="22"/>
                <w:szCs w:val="22"/>
                <w:lang w:bidi="lt-LT"/>
              </w:rPr>
            </w:pPr>
          </w:p>
          <w:p w:rsidR="004843E4" w:rsidRPr="005D35BB" w:rsidRDefault="004843E4" w:rsidP="0061290C">
            <w:pPr>
              <w:pStyle w:val="prastasiniatinklio"/>
              <w:jc w:val="both"/>
              <w:rPr>
                <w:rFonts w:asciiTheme="majorHAnsi" w:hAnsiTheme="majorHAnsi"/>
                <w:bCs/>
                <w:i/>
                <w:sz w:val="22"/>
                <w:szCs w:val="22"/>
              </w:rPr>
            </w:pPr>
            <w:r w:rsidRPr="005D35BB">
              <w:rPr>
                <w:rFonts w:asciiTheme="majorHAnsi" w:hAnsiTheme="majorHAnsi"/>
                <w:bCs/>
                <w:i/>
                <w:sz w:val="22"/>
                <w:szCs w:val="22"/>
                <w:lang w:bidi="lt-LT"/>
              </w:rPr>
              <w:t>Pastaba: Balas skiriamas už kiekvienus papildomus 12 mėn.</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
                <w:bCs/>
                <w:sz w:val="22"/>
                <w:szCs w:val="22"/>
              </w:rPr>
            </w:pPr>
            <w:r w:rsidRPr="005D35BB">
              <w:rPr>
                <w:rFonts w:asciiTheme="majorHAnsi" w:hAnsiTheme="majorHAnsi"/>
                <w:bCs/>
                <w:sz w:val="22"/>
                <w:szCs w:val="22"/>
              </w:rPr>
              <w:t>Palyginamasis: interpoliacinis</w:t>
            </w:r>
          </w:p>
        </w:tc>
        <w:tc>
          <w:tcPr>
            <w:tcW w:w="695" w:type="pct"/>
            <w:tcBorders>
              <w:top w:val="single" w:sz="4" w:space="0" w:color="000000"/>
              <w:left w:val="single" w:sz="4" w:space="0" w:color="000000"/>
              <w:bottom w:val="single" w:sz="4" w:space="0" w:color="000000"/>
              <w:right w:val="single" w:sz="4" w:space="0" w:color="000000"/>
            </w:tcBorders>
          </w:tcPr>
          <w:p w:rsidR="004843E4" w:rsidRPr="005D35BB" w:rsidRDefault="004843E4" w:rsidP="0061290C">
            <w:pPr>
              <w:pStyle w:val="prastasiniatinklio"/>
              <w:jc w:val="center"/>
              <w:rPr>
                <w:rFonts w:asciiTheme="majorHAnsi" w:hAnsiTheme="majorHAnsi"/>
                <w:b/>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1</w:t>
            </w:r>
            <w:r w:rsidRPr="005D35BB">
              <w:rPr>
                <w:rFonts w:asciiTheme="majorHAnsi" w:hAnsiTheme="majorHAnsi"/>
                <w:bCs/>
                <w:sz w:val="22"/>
                <w:szCs w:val="22"/>
              </w:rPr>
              <w:t xml:space="preserve"> = 0,10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Įrašyti suteikiamą garantinį terminą (mėn.)</w:t>
            </w: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2</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Cs/>
                <w:sz w:val="22"/>
                <w:szCs w:val="22"/>
              </w:rPr>
              <w:t>Kraujo tūrio sekimo arba hematokrito sekimo funkcija</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Statinis:</w:t>
            </w:r>
            <w:r w:rsidRPr="005D35BB">
              <w:rPr>
                <w:rFonts w:asciiTheme="majorHAnsi" w:hAnsiTheme="majorHAnsi"/>
                <w:bCs/>
                <w:sz w:val="22"/>
                <w:szCs w:val="22"/>
              </w:rPr>
              <w:br/>
              <w:t>(yra/nėra)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2</w:t>
            </w:r>
            <w:r w:rsidRPr="005D35BB">
              <w:rPr>
                <w:rFonts w:asciiTheme="majorHAnsi" w:hAnsiTheme="majorHAnsi"/>
                <w:bCs/>
                <w:sz w:val="22"/>
                <w:szCs w:val="22"/>
              </w:rPr>
              <w:t xml:space="preserve"> = 0,50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 xml:space="preserve">Įrašyti parametro vertę: </w:t>
            </w:r>
          </w:p>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
                <w:bCs/>
                <w:sz w:val="22"/>
                <w:szCs w:val="22"/>
              </w:rPr>
              <w:t>yra / nėra</w:t>
            </w: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3</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Cs/>
                <w:sz w:val="22"/>
                <w:szCs w:val="22"/>
              </w:rPr>
              <w:t>Pakaitinio tirpalo gamybos ir naudojimo kraujo magistralės užpildymui, praplovimui ir vienkartiniams skysčio Bolusams funkcija</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Statinis:</w:t>
            </w:r>
            <w:r w:rsidRPr="005D35BB">
              <w:rPr>
                <w:rFonts w:asciiTheme="majorHAnsi" w:hAnsiTheme="majorHAnsi"/>
                <w:bCs/>
                <w:sz w:val="22"/>
                <w:szCs w:val="22"/>
              </w:rPr>
              <w:br/>
              <w:t>(yra/nėra)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3</w:t>
            </w:r>
            <w:r w:rsidRPr="005D35BB">
              <w:rPr>
                <w:rFonts w:asciiTheme="majorHAnsi" w:hAnsiTheme="majorHAnsi"/>
                <w:bCs/>
                <w:sz w:val="22"/>
                <w:szCs w:val="22"/>
              </w:rPr>
              <w:t xml:space="preserve"> = 0,10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 xml:space="preserve">Įrašyti parametro vertę: </w:t>
            </w:r>
          </w:p>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
                <w:bCs/>
                <w:sz w:val="22"/>
                <w:szCs w:val="22"/>
              </w:rPr>
              <w:t>yra / nėra</w:t>
            </w: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4</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Cs/>
                <w:sz w:val="22"/>
                <w:szCs w:val="22"/>
              </w:rPr>
              <w:t>Individualus natrio kontrolės valdymas ir reguliavimas</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Statinis:</w:t>
            </w:r>
            <w:r w:rsidRPr="005D35BB">
              <w:rPr>
                <w:rFonts w:asciiTheme="majorHAnsi" w:hAnsiTheme="majorHAnsi"/>
                <w:bCs/>
                <w:sz w:val="22"/>
                <w:szCs w:val="22"/>
              </w:rPr>
              <w:br/>
              <w:t>(yra/nėra)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4</w:t>
            </w:r>
            <w:r w:rsidRPr="005D35BB">
              <w:rPr>
                <w:rFonts w:asciiTheme="majorHAnsi" w:hAnsiTheme="majorHAnsi"/>
                <w:bCs/>
                <w:sz w:val="22"/>
                <w:szCs w:val="22"/>
              </w:rPr>
              <w:t xml:space="preserve"> = 0,10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 xml:space="preserve">Įrašyti parametro vertę: </w:t>
            </w:r>
          </w:p>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
                <w:bCs/>
                <w:sz w:val="22"/>
                <w:szCs w:val="22"/>
              </w:rPr>
              <w:t>yra / nėra</w:t>
            </w: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5</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Cs/>
                <w:sz w:val="22"/>
                <w:szCs w:val="22"/>
              </w:rPr>
              <w:t>Hemodializės aparato kraujo pompų darbingumas užtikrinamas ≥ 15 min., nutrūkus elektros tiekimui iš elektros tinklo</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Statinis:</w:t>
            </w:r>
            <w:r w:rsidRPr="005D35BB">
              <w:rPr>
                <w:rFonts w:asciiTheme="majorHAnsi" w:hAnsiTheme="majorHAnsi"/>
                <w:bCs/>
                <w:sz w:val="22"/>
                <w:szCs w:val="22"/>
              </w:rPr>
              <w:br/>
              <w:t>(yra/nėra)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5</w:t>
            </w:r>
            <w:r w:rsidRPr="005D35BB">
              <w:rPr>
                <w:rFonts w:asciiTheme="majorHAnsi" w:hAnsiTheme="majorHAnsi"/>
                <w:bCs/>
                <w:sz w:val="22"/>
                <w:szCs w:val="22"/>
              </w:rPr>
              <w:t xml:space="preserve"> = 0,10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 xml:space="preserve">Įrašyti parametro vertę: </w:t>
            </w:r>
          </w:p>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
                <w:bCs/>
                <w:sz w:val="22"/>
                <w:szCs w:val="22"/>
              </w:rPr>
              <w:t>yra / nėra</w:t>
            </w:r>
          </w:p>
        </w:tc>
      </w:tr>
      <w:tr w:rsidR="004843E4" w:rsidRPr="005D35BB" w:rsidTr="0061290C">
        <w:tc>
          <w:tcPr>
            <w:tcW w:w="2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T</w:t>
            </w:r>
            <w:r w:rsidRPr="005D35BB">
              <w:rPr>
                <w:rFonts w:asciiTheme="majorHAnsi" w:hAnsiTheme="majorHAnsi"/>
                <w:bCs/>
                <w:sz w:val="22"/>
                <w:szCs w:val="22"/>
                <w:vertAlign w:val="subscript"/>
              </w:rPr>
              <w:t>6</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both"/>
              <w:rPr>
                <w:rFonts w:asciiTheme="majorHAnsi" w:hAnsiTheme="majorHAnsi"/>
                <w:bCs/>
                <w:sz w:val="22"/>
                <w:szCs w:val="22"/>
              </w:rPr>
            </w:pPr>
            <w:r w:rsidRPr="005D35BB">
              <w:rPr>
                <w:rFonts w:asciiTheme="majorHAnsi" w:hAnsiTheme="majorHAnsi"/>
                <w:bCs/>
                <w:sz w:val="22"/>
                <w:szCs w:val="22"/>
              </w:rPr>
              <w:t>Vartotojo sąsaja lietuvių kalba</w:t>
            </w:r>
          </w:p>
        </w:tc>
        <w:tc>
          <w:tcPr>
            <w:tcW w:w="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Statinis:</w:t>
            </w:r>
            <w:r w:rsidRPr="005D35BB">
              <w:rPr>
                <w:rFonts w:asciiTheme="majorHAnsi" w:hAnsiTheme="majorHAnsi"/>
                <w:bCs/>
                <w:sz w:val="22"/>
                <w:szCs w:val="22"/>
              </w:rPr>
              <w:br/>
              <w:t>(yra/nėra)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L</w:t>
            </w:r>
            <w:r w:rsidRPr="005D35BB">
              <w:rPr>
                <w:rFonts w:asciiTheme="majorHAnsi" w:hAnsiTheme="majorHAnsi"/>
                <w:bCs/>
                <w:sz w:val="22"/>
                <w:szCs w:val="22"/>
                <w:vertAlign w:val="subscript"/>
              </w:rPr>
              <w:t>6</w:t>
            </w:r>
            <w:r w:rsidRPr="005D35BB">
              <w:rPr>
                <w:rFonts w:asciiTheme="majorHAnsi" w:hAnsiTheme="majorHAnsi"/>
                <w:bCs/>
                <w:sz w:val="22"/>
                <w:szCs w:val="22"/>
              </w:rPr>
              <w:t xml:space="preserve"> = 0,10</w:t>
            </w:r>
          </w:p>
        </w:tc>
        <w:tc>
          <w:tcPr>
            <w:tcW w:w="1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Cs/>
                <w:sz w:val="22"/>
                <w:szCs w:val="22"/>
              </w:rPr>
              <w:t xml:space="preserve">Įrašyti parametro vertę: </w:t>
            </w:r>
          </w:p>
          <w:p w:rsidR="004843E4" w:rsidRPr="005D35BB" w:rsidRDefault="004843E4" w:rsidP="0061290C">
            <w:pPr>
              <w:pStyle w:val="prastasiniatinklio"/>
              <w:jc w:val="center"/>
              <w:rPr>
                <w:rFonts w:asciiTheme="majorHAnsi" w:hAnsiTheme="majorHAnsi"/>
                <w:bCs/>
                <w:sz w:val="22"/>
                <w:szCs w:val="22"/>
              </w:rPr>
            </w:pPr>
            <w:r w:rsidRPr="005D35BB">
              <w:rPr>
                <w:rFonts w:asciiTheme="majorHAnsi" w:hAnsiTheme="majorHAnsi"/>
                <w:b/>
                <w:bCs/>
                <w:sz w:val="22"/>
                <w:szCs w:val="22"/>
              </w:rPr>
              <w:t>yra / nėra</w:t>
            </w:r>
          </w:p>
        </w:tc>
      </w:tr>
    </w:tbl>
    <w:p w:rsidR="004843E4" w:rsidRPr="005D35BB" w:rsidRDefault="004843E4" w:rsidP="004843E4">
      <w:pPr>
        <w:jc w:val="both"/>
        <w:rPr>
          <w:rFonts w:asciiTheme="majorHAnsi" w:hAnsiTheme="majorHAnsi"/>
          <w:sz w:val="22"/>
          <w:szCs w:val="22"/>
        </w:rPr>
      </w:pPr>
    </w:p>
    <w:p w:rsidR="004843E4" w:rsidRPr="005D35BB" w:rsidRDefault="004843E4" w:rsidP="004843E4">
      <w:pPr>
        <w:jc w:val="both"/>
        <w:rPr>
          <w:rFonts w:asciiTheme="majorHAnsi" w:hAnsiTheme="majorHAnsi"/>
          <w:sz w:val="22"/>
          <w:szCs w:val="22"/>
        </w:rPr>
      </w:pPr>
    </w:p>
    <w:p w:rsidR="004843E4" w:rsidRPr="005D35BB" w:rsidRDefault="004843E4" w:rsidP="004843E4">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5D35BB">
        <w:rPr>
          <w:rFonts w:asciiTheme="majorHAnsi" w:eastAsia="Arial Unicode MS" w:hAnsiTheme="majorHAnsi"/>
          <w:b/>
          <w:bCs/>
          <w:caps/>
          <w:spacing w:val="4"/>
          <w:bdr w:val="nil"/>
        </w:rPr>
        <w:t>BALŲ APSKAIČIAVIMAS</w:t>
      </w:r>
    </w:p>
    <w:p w:rsidR="004843E4" w:rsidRPr="005D35BB" w:rsidRDefault="004843E4" w:rsidP="004843E4">
      <w:pPr>
        <w:suppressAutoHyphens/>
        <w:jc w:val="both"/>
        <w:rPr>
          <w:rFonts w:asciiTheme="majorHAnsi" w:hAnsiTheme="majorHAnsi"/>
          <w:sz w:val="22"/>
          <w:szCs w:val="22"/>
        </w:rPr>
      </w:pPr>
    </w:p>
    <w:p w:rsidR="004843E4" w:rsidRPr="005D35BB" w:rsidRDefault="004843E4" w:rsidP="004843E4">
      <w:pPr>
        <w:shd w:val="clear" w:color="auto" w:fill="FFFFFF"/>
        <w:ind w:firstLine="567"/>
        <w:jc w:val="both"/>
        <w:rPr>
          <w:rFonts w:asciiTheme="majorHAnsi" w:hAnsiTheme="majorHAnsi"/>
          <w:sz w:val="22"/>
          <w:szCs w:val="22"/>
        </w:rPr>
      </w:pPr>
      <w:r w:rsidRPr="005D35BB">
        <w:rPr>
          <w:rFonts w:asciiTheme="majorHAnsi" w:hAnsiTheme="majorHAnsi"/>
          <w:sz w:val="22"/>
          <w:szCs w:val="22"/>
        </w:rPr>
        <w:t>Pasiūlymo ekonominio naudingumo (kainos ir kokybės santykio) apskaičiavimo tvarka (formulė) yra pateikiama žemiau:</w:t>
      </w:r>
    </w:p>
    <w:p w:rsidR="004843E4" w:rsidRPr="005D35BB" w:rsidRDefault="004843E4" w:rsidP="004843E4">
      <w:pPr>
        <w:tabs>
          <w:tab w:val="left" w:pos="1134"/>
        </w:tabs>
        <w:suppressAutoHyphens/>
        <w:jc w:val="both"/>
        <w:rPr>
          <w:rFonts w:asciiTheme="majorHAnsi" w:hAnsiTheme="majorHAnsi"/>
          <w:sz w:val="22"/>
          <w:szCs w:val="22"/>
        </w:rPr>
      </w:pPr>
      <w:r w:rsidRPr="005D35BB">
        <w:rPr>
          <w:rFonts w:asciiTheme="majorHAnsi" w:hAnsiTheme="majorHAnsi"/>
          <w:sz w:val="22"/>
          <w:szCs w:val="22"/>
        </w:rPr>
        <w:lastRenderedPageBreak/>
        <w:t xml:space="preserve">            Pasiūlymo ekonominis naudingumas (E) apskaičiuojamas sudedant tiekėjo pasiūlymo kainos (K) ir techninių pranašumu (T) balus:</w:t>
      </w:r>
    </w:p>
    <w:p w:rsidR="004843E4" w:rsidRPr="005D35BB" w:rsidRDefault="004843E4" w:rsidP="004843E4">
      <w:pPr>
        <w:tabs>
          <w:tab w:val="left" w:pos="851"/>
        </w:tabs>
        <w:suppressAutoHyphens/>
        <w:ind w:left="360"/>
        <w:rPr>
          <w:rFonts w:asciiTheme="majorHAnsi" w:hAnsiTheme="majorHAnsi"/>
          <w:sz w:val="22"/>
          <w:szCs w:val="22"/>
        </w:rPr>
      </w:pPr>
    </w:p>
    <w:p w:rsidR="004843E4" w:rsidRPr="005D35BB" w:rsidRDefault="004843E4" w:rsidP="004843E4">
      <w:pPr>
        <w:shd w:val="clear" w:color="auto" w:fill="FFFFFF"/>
        <w:jc w:val="center"/>
        <w:rPr>
          <w:rFonts w:asciiTheme="majorHAnsi" w:hAnsiTheme="majorHAnsi"/>
          <w:i/>
          <w:iCs/>
          <w:sz w:val="22"/>
          <w:szCs w:val="22"/>
        </w:rPr>
      </w:pPr>
      <w:r w:rsidRPr="005D35BB">
        <w:rPr>
          <w:rFonts w:asciiTheme="majorHAnsi" w:hAnsiTheme="majorHAnsi"/>
          <w:i/>
          <w:iCs/>
          <w:sz w:val="22"/>
          <w:szCs w:val="22"/>
        </w:rPr>
        <w:t xml:space="preserve">E </w:t>
      </w:r>
      <w:r w:rsidRPr="005D35BB">
        <w:rPr>
          <w:rFonts w:asciiTheme="majorHAnsi" w:hAnsiTheme="majorHAnsi"/>
          <w:sz w:val="22"/>
          <w:szCs w:val="22"/>
        </w:rPr>
        <w:t xml:space="preserve">= </w:t>
      </w:r>
      <w:r w:rsidRPr="005D35BB">
        <w:rPr>
          <w:rFonts w:asciiTheme="majorHAnsi" w:hAnsiTheme="majorHAnsi"/>
          <w:i/>
          <w:sz w:val="22"/>
          <w:szCs w:val="22"/>
        </w:rPr>
        <w:t>K</w:t>
      </w:r>
      <w:r w:rsidRPr="005D35BB">
        <w:rPr>
          <w:rFonts w:asciiTheme="majorHAnsi" w:hAnsiTheme="majorHAnsi"/>
          <w:i/>
          <w:iCs/>
          <w:sz w:val="22"/>
          <w:szCs w:val="22"/>
        </w:rPr>
        <w:t>+ T.</w:t>
      </w:r>
    </w:p>
    <w:p w:rsidR="004843E4" w:rsidRPr="005D35BB" w:rsidRDefault="004843E4" w:rsidP="004843E4">
      <w:pPr>
        <w:shd w:val="clear" w:color="auto" w:fill="FFFFFF"/>
        <w:jc w:val="center"/>
        <w:rPr>
          <w:rFonts w:asciiTheme="majorHAnsi" w:hAnsiTheme="majorHAnsi"/>
          <w:sz w:val="22"/>
          <w:szCs w:val="22"/>
        </w:rPr>
      </w:pPr>
    </w:p>
    <w:p w:rsidR="004843E4" w:rsidRPr="005D35BB" w:rsidRDefault="004843E4" w:rsidP="004843E4">
      <w:pPr>
        <w:tabs>
          <w:tab w:val="left" w:pos="851"/>
        </w:tabs>
        <w:suppressAutoHyphens/>
        <w:ind w:firstLine="709"/>
        <w:jc w:val="both"/>
        <w:rPr>
          <w:rFonts w:asciiTheme="majorHAnsi" w:hAnsiTheme="majorHAnsi"/>
          <w:sz w:val="22"/>
          <w:szCs w:val="22"/>
        </w:rPr>
      </w:pPr>
      <w:r w:rsidRPr="005D35BB">
        <w:rPr>
          <w:rFonts w:asciiTheme="majorHAnsi" w:hAnsiTheme="majorHAnsi"/>
          <w:sz w:val="22"/>
          <w:szCs w:val="22"/>
        </w:rPr>
        <w:t>Pasiūlymo kainos (K) balai apskaičiuojami mažiausios pasiūlytos kainos (K</w:t>
      </w:r>
      <w:r w:rsidRPr="005D35BB">
        <w:rPr>
          <w:rFonts w:asciiTheme="majorHAnsi" w:hAnsiTheme="majorHAnsi"/>
          <w:sz w:val="22"/>
          <w:szCs w:val="22"/>
          <w:vertAlign w:val="subscript"/>
        </w:rPr>
        <w:t>min</w:t>
      </w:r>
      <w:r w:rsidRPr="005D35BB">
        <w:rPr>
          <w:rFonts w:asciiTheme="majorHAnsi" w:hAnsiTheme="majorHAnsi"/>
          <w:sz w:val="22"/>
          <w:szCs w:val="22"/>
        </w:rPr>
        <w:t>) ir vertinamo pasiūlymo kainos (K</w:t>
      </w:r>
      <w:r w:rsidRPr="005D35BB">
        <w:rPr>
          <w:rFonts w:asciiTheme="majorHAnsi" w:hAnsiTheme="majorHAnsi"/>
          <w:sz w:val="22"/>
          <w:szCs w:val="22"/>
          <w:vertAlign w:val="subscript"/>
        </w:rPr>
        <w:t>v</w:t>
      </w:r>
      <w:r w:rsidRPr="005D35BB">
        <w:rPr>
          <w:rFonts w:asciiTheme="majorHAnsi" w:hAnsiTheme="majorHAnsi"/>
          <w:sz w:val="22"/>
          <w:szCs w:val="22"/>
        </w:rPr>
        <w:t>) santykį padauginant iš kainos lyginamojo svorio (X):</w:t>
      </w:r>
    </w:p>
    <w:p w:rsidR="004843E4" w:rsidRPr="005D35BB" w:rsidRDefault="004843E4" w:rsidP="004843E4">
      <w:pPr>
        <w:tabs>
          <w:tab w:val="left" w:pos="851"/>
        </w:tabs>
        <w:suppressAutoHyphens/>
        <w:ind w:left="360" w:firstLine="709"/>
        <w:rPr>
          <w:rFonts w:asciiTheme="majorHAnsi" w:hAnsiTheme="majorHAnsi"/>
          <w:sz w:val="22"/>
          <w:szCs w:val="22"/>
        </w:rPr>
      </w:pPr>
    </w:p>
    <w:p w:rsidR="004843E4" w:rsidRPr="005D35BB" w:rsidRDefault="004843E4" w:rsidP="004843E4">
      <w:pPr>
        <w:shd w:val="clear" w:color="auto" w:fill="FFFFFF"/>
        <w:ind w:firstLine="709"/>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4843E4" w:rsidRPr="005D35BB" w:rsidRDefault="004843E4" w:rsidP="004843E4">
      <w:pPr>
        <w:shd w:val="clear" w:color="auto" w:fill="FFFFFF"/>
        <w:ind w:firstLine="709"/>
        <w:jc w:val="center"/>
        <w:rPr>
          <w:rFonts w:asciiTheme="majorHAnsi" w:eastAsiaTheme="minorEastAsia" w:hAnsiTheme="majorHAnsi"/>
          <w:sz w:val="22"/>
          <w:szCs w:val="22"/>
        </w:rPr>
      </w:pPr>
    </w:p>
    <w:p w:rsidR="004843E4" w:rsidRPr="005D35BB" w:rsidRDefault="004843E4" w:rsidP="004843E4">
      <w:pPr>
        <w:tabs>
          <w:tab w:val="left" w:pos="1134"/>
        </w:tabs>
        <w:suppressAutoHyphens/>
        <w:ind w:firstLine="709"/>
        <w:jc w:val="both"/>
        <w:rPr>
          <w:rFonts w:asciiTheme="majorHAnsi" w:hAnsiTheme="majorHAnsi"/>
          <w:sz w:val="22"/>
          <w:szCs w:val="22"/>
        </w:rPr>
      </w:pPr>
      <w:r w:rsidRPr="005D35BB">
        <w:rPr>
          <w:rFonts w:asciiTheme="majorHAnsi" w:hAnsiTheme="majorHAnsi"/>
          <w:sz w:val="22"/>
          <w:szCs w:val="22"/>
        </w:rPr>
        <w:t>Kadangi siūlomo objekto techniniai pranašumai įvertinami dviem skirtingais vertinimo būdais, todėl parametrų įvertinimas apskaičiuojamas skirtingais metodais:</w:t>
      </w:r>
    </w:p>
    <w:p w:rsidR="004843E4" w:rsidRPr="005D35BB" w:rsidRDefault="004843E4" w:rsidP="004843E4">
      <w:pPr>
        <w:tabs>
          <w:tab w:val="left" w:pos="1560"/>
        </w:tabs>
        <w:suppressAutoHyphens/>
        <w:ind w:firstLine="709"/>
        <w:jc w:val="both"/>
        <w:rPr>
          <w:rFonts w:asciiTheme="majorHAnsi" w:hAnsiTheme="majorHAnsi"/>
          <w:sz w:val="22"/>
          <w:szCs w:val="22"/>
        </w:rPr>
      </w:pPr>
      <w:r w:rsidRPr="005D35BB">
        <w:rPr>
          <w:rFonts w:asciiTheme="majorHAnsi" w:hAnsiTheme="majorHAnsi"/>
          <w:sz w:val="22"/>
          <w:szCs w:val="22"/>
        </w:rPr>
        <w:t>Siūlomo objekto T</w:t>
      </w:r>
      <w:r w:rsidRPr="005D35BB">
        <w:rPr>
          <w:rFonts w:asciiTheme="majorHAnsi" w:hAnsiTheme="majorHAnsi"/>
          <w:sz w:val="22"/>
          <w:szCs w:val="22"/>
          <w:vertAlign w:val="subscript"/>
        </w:rPr>
        <w:t>1</w:t>
      </w:r>
      <w:r w:rsidRPr="005D35BB">
        <w:rPr>
          <w:rFonts w:asciiTheme="majorHAnsi" w:hAnsiTheme="majorHAnsi"/>
          <w:sz w:val="22"/>
          <w:szCs w:val="22"/>
        </w:rPr>
        <w:t xml:space="preserve"> techninis parametras aprašomas palyginamuoju interpoliaciniu vertinimo būdu, todėl parametro įvertinimas apskaičiuojamas pagal metodiką:</w:t>
      </w:r>
    </w:p>
    <w:p w:rsidR="004843E4" w:rsidRPr="005D35BB" w:rsidRDefault="004843E4" w:rsidP="004843E4">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5D35BB">
        <w:rPr>
          <w:rFonts w:asciiTheme="majorHAnsi" w:eastAsia="Arial Unicode MS" w:hAnsiTheme="majorHAnsi"/>
          <w:bdr w:val="nil"/>
        </w:rPr>
        <w:t>Jei siūlomas objektas turi parametro T</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didžiausią skaitinę vertę (T</w:t>
      </w:r>
      <w:r w:rsidRPr="005D35BB">
        <w:rPr>
          <w:rFonts w:asciiTheme="majorHAnsi" w:eastAsia="Arial Unicode MS" w:hAnsiTheme="majorHAnsi"/>
          <w:bdr w:val="nil"/>
          <w:vertAlign w:val="subscript"/>
        </w:rPr>
        <w:t>max</w:t>
      </w:r>
      <w:r w:rsidRPr="005D35BB">
        <w:rPr>
          <w:rFonts w:asciiTheme="majorHAnsi" w:eastAsia="Arial Unicode MS" w:hAnsiTheme="majorHAnsi"/>
          <w:bdr w:val="nil"/>
        </w:rPr>
        <w:t>) gauna maksimalų balų skaičių pagal lyginamąjį svorį: T</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 L</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 0,10. Mažiausią parametro T</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skaitinę vertę (T</w:t>
      </w:r>
      <w:r w:rsidRPr="005D35BB">
        <w:rPr>
          <w:rFonts w:asciiTheme="majorHAnsi" w:eastAsia="Arial Unicode MS" w:hAnsiTheme="majorHAnsi"/>
          <w:bdr w:val="nil"/>
          <w:vertAlign w:val="subscript"/>
        </w:rPr>
        <w:t>min</w:t>
      </w:r>
      <w:r w:rsidRPr="005D35BB">
        <w:rPr>
          <w:rFonts w:asciiTheme="majorHAnsi" w:eastAsia="Arial Unicode MS" w:hAnsiTheme="majorHAnsi"/>
          <w:bdr w:val="nil"/>
        </w:rPr>
        <w:t>) turintis objektas gauna 0 balų: T</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 L</w:t>
      </w:r>
      <w:r w:rsidRPr="005D35BB">
        <w:rPr>
          <w:rFonts w:asciiTheme="majorHAnsi" w:eastAsia="Arial Unicode MS" w:hAnsiTheme="majorHAnsi"/>
          <w:bdr w:val="nil"/>
          <w:vertAlign w:val="subscript"/>
        </w:rPr>
        <w:t>1</w:t>
      </w:r>
      <w:r w:rsidRPr="005D35BB">
        <w:rPr>
          <w:rFonts w:asciiTheme="majorHAnsi" w:eastAsia="Arial Unicode MS" w:hAnsiTheme="majorHAnsi"/>
          <w:bdr w:val="nil"/>
        </w:rPr>
        <w:t xml:space="preserve"> = 0. </w:t>
      </w:r>
    </w:p>
    <w:p w:rsidR="004843E4" w:rsidRPr="005D35BB" w:rsidRDefault="004843E4" w:rsidP="004843E4">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5D35BB">
        <w:rPr>
          <w:rFonts w:asciiTheme="majorHAnsi" w:eastAsia="Arial Unicode MS" w:hAnsiTheme="majorHAnsi"/>
          <w:bdr w:val="nil"/>
        </w:rPr>
        <w:t>Visais kitais atvejais vertinamo objekto (T</w:t>
      </w:r>
      <w:r w:rsidRPr="005D35BB">
        <w:rPr>
          <w:rFonts w:asciiTheme="majorHAnsi" w:eastAsia="Arial Unicode MS" w:hAnsiTheme="majorHAnsi"/>
          <w:bdr w:val="nil"/>
          <w:vertAlign w:val="subscript"/>
        </w:rPr>
        <w:t>v</w:t>
      </w:r>
      <w:r w:rsidRPr="005D35BB">
        <w:rPr>
          <w:rFonts w:asciiTheme="majorHAnsi" w:eastAsia="Arial Unicode MS" w:hAnsiTheme="majorHAnsi"/>
          <w:bdr w:val="nil"/>
        </w:rPr>
        <w:t>) parametro įvertinimas skaičiuojamas pagal formulę:</w:t>
      </w:r>
    </w:p>
    <w:p w:rsidR="004843E4" w:rsidRPr="005D35BB" w:rsidRDefault="004843E4" w:rsidP="004843E4">
      <w:pPr>
        <w:tabs>
          <w:tab w:val="left" w:pos="1134"/>
        </w:tabs>
        <w:suppressAutoHyphens/>
        <w:jc w:val="both"/>
        <w:rPr>
          <w:rFonts w:asciiTheme="majorHAnsi" w:hAnsiTheme="majorHAnsi"/>
          <w:sz w:val="22"/>
          <w:szCs w:val="22"/>
        </w:rPr>
      </w:pPr>
    </w:p>
    <w:p w:rsidR="004843E4" w:rsidRPr="005D35BB" w:rsidRDefault="000972EE" w:rsidP="004843E4">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4843E4" w:rsidRPr="005D35BB" w:rsidRDefault="004843E4" w:rsidP="004843E4">
      <w:pPr>
        <w:tabs>
          <w:tab w:val="left" w:pos="1134"/>
        </w:tabs>
        <w:suppressAutoHyphens/>
        <w:jc w:val="both"/>
        <w:rPr>
          <w:rFonts w:asciiTheme="majorHAnsi" w:hAnsiTheme="majorHAnsi"/>
          <w:sz w:val="22"/>
          <w:szCs w:val="22"/>
        </w:rPr>
      </w:pPr>
    </w:p>
    <w:p w:rsidR="004843E4" w:rsidRPr="005D35BB" w:rsidRDefault="004843E4" w:rsidP="004843E4">
      <w:pPr>
        <w:tabs>
          <w:tab w:val="left" w:pos="1560"/>
        </w:tabs>
        <w:suppressAutoHyphens/>
        <w:ind w:firstLine="709"/>
        <w:jc w:val="both"/>
        <w:rPr>
          <w:rFonts w:asciiTheme="majorHAnsi" w:hAnsiTheme="majorHAnsi"/>
          <w:sz w:val="22"/>
          <w:szCs w:val="22"/>
        </w:rPr>
      </w:pPr>
      <w:r w:rsidRPr="005D35BB">
        <w:rPr>
          <w:rFonts w:asciiTheme="majorHAnsi" w:hAnsiTheme="majorHAnsi"/>
          <w:color w:val="000000" w:themeColor="text1"/>
          <w:sz w:val="22"/>
          <w:szCs w:val="22"/>
          <w:bdr w:val="none" w:sz="0" w:space="0" w:color="auto" w:frame="1"/>
        </w:rPr>
        <w:t>Siūlomo objekto T</w:t>
      </w:r>
      <w:r w:rsidRPr="005D35BB">
        <w:rPr>
          <w:rFonts w:asciiTheme="majorHAnsi" w:hAnsiTheme="majorHAnsi"/>
          <w:color w:val="000000" w:themeColor="text1"/>
          <w:sz w:val="22"/>
          <w:szCs w:val="22"/>
          <w:bdr w:val="none" w:sz="0" w:space="0" w:color="auto" w:frame="1"/>
          <w:vertAlign w:val="subscript"/>
        </w:rPr>
        <w:t>2</w:t>
      </w:r>
      <w:r w:rsidRPr="005D35BB">
        <w:rPr>
          <w:rFonts w:asciiTheme="majorHAnsi" w:hAnsiTheme="majorHAnsi"/>
          <w:color w:val="000000" w:themeColor="text1"/>
          <w:sz w:val="22"/>
          <w:szCs w:val="22"/>
          <w:bdr w:val="none" w:sz="0" w:space="0" w:color="auto" w:frame="1"/>
        </w:rPr>
        <w:t>, T</w:t>
      </w:r>
      <w:r w:rsidRPr="005D35BB">
        <w:rPr>
          <w:rFonts w:asciiTheme="majorHAnsi" w:hAnsiTheme="majorHAnsi"/>
          <w:color w:val="000000" w:themeColor="text1"/>
          <w:sz w:val="22"/>
          <w:szCs w:val="22"/>
          <w:bdr w:val="none" w:sz="0" w:space="0" w:color="auto" w:frame="1"/>
          <w:vertAlign w:val="subscript"/>
        </w:rPr>
        <w:t>3</w:t>
      </w:r>
      <w:r w:rsidRPr="005D35BB">
        <w:rPr>
          <w:rFonts w:asciiTheme="majorHAnsi" w:hAnsiTheme="majorHAnsi"/>
          <w:color w:val="000000" w:themeColor="text1"/>
          <w:sz w:val="22"/>
          <w:szCs w:val="22"/>
          <w:bdr w:val="none" w:sz="0" w:space="0" w:color="auto" w:frame="1"/>
        </w:rPr>
        <w:t>, T</w:t>
      </w:r>
      <w:r w:rsidRPr="005D35BB">
        <w:rPr>
          <w:rFonts w:asciiTheme="majorHAnsi" w:hAnsiTheme="majorHAnsi"/>
          <w:color w:val="000000" w:themeColor="text1"/>
          <w:sz w:val="22"/>
          <w:szCs w:val="22"/>
          <w:bdr w:val="none" w:sz="0" w:space="0" w:color="auto" w:frame="1"/>
          <w:vertAlign w:val="subscript"/>
        </w:rPr>
        <w:t>4</w:t>
      </w:r>
      <w:r w:rsidRPr="005D35BB">
        <w:rPr>
          <w:rFonts w:asciiTheme="majorHAnsi" w:hAnsiTheme="majorHAnsi"/>
          <w:color w:val="000000" w:themeColor="text1"/>
          <w:sz w:val="22"/>
          <w:szCs w:val="22"/>
          <w:bdr w:val="none" w:sz="0" w:space="0" w:color="auto" w:frame="1"/>
        </w:rPr>
        <w:t>, T</w:t>
      </w:r>
      <w:r w:rsidRPr="005D35BB">
        <w:rPr>
          <w:rFonts w:asciiTheme="majorHAnsi" w:hAnsiTheme="majorHAnsi"/>
          <w:color w:val="000000" w:themeColor="text1"/>
          <w:sz w:val="22"/>
          <w:szCs w:val="22"/>
          <w:bdr w:val="none" w:sz="0" w:space="0" w:color="auto" w:frame="1"/>
          <w:vertAlign w:val="subscript"/>
        </w:rPr>
        <w:t>5</w:t>
      </w:r>
      <w:r w:rsidRPr="005D35BB">
        <w:rPr>
          <w:rFonts w:asciiTheme="majorHAnsi" w:hAnsiTheme="majorHAnsi"/>
          <w:color w:val="000000" w:themeColor="text1"/>
          <w:sz w:val="22"/>
          <w:szCs w:val="22"/>
          <w:bdr w:val="none" w:sz="0" w:space="0" w:color="auto" w:frame="1"/>
        </w:rPr>
        <w:t>, T</w:t>
      </w:r>
      <w:r w:rsidRPr="005D35BB">
        <w:rPr>
          <w:rFonts w:asciiTheme="majorHAnsi" w:hAnsiTheme="majorHAnsi"/>
          <w:color w:val="000000" w:themeColor="text1"/>
          <w:sz w:val="22"/>
          <w:szCs w:val="22"/>
          <w:bdr w:val="none" w:sz="0" w:space="0" w:color="auto" w:frame="1"/>
          <w:vertAlign w:val="subscript"/>
        </w:rPr>
        <w:t xml:space="preserve">6 </w:t>
      </w:r>
      <w:r w:rsidRPr="005D35BB">
        <w:rPr>
          <w:rFonts w:asciiTheme="majorHAnsi" w:hAnsiTheme="majorHAnsi"/>
          <w:color w:val="000000" w:themeColor="text1"/>
          <w:sz w:val="22"/>
          <w:szCs w:val="22"/>
          <w:bdr w:val="none" w:sz="0" w:space="0" w:color="auto" w:frame="1"/>
        </w:rPr>
        <w:t>techniniai parametrai aprašomi statiniu vertinimo būdu ir neturi skaitinių išraiškų (yra arba nėra), todėl parametro įvertinimas apskaičiuojamas pagal formulę:</w:t>
      </w:r>
    </w:p>
    <w:p w:rsidR="004843E4" w:rsidRPr="005D35BB" w:rsidRDefault="004843E4" w:rsidP="004843E4">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Theme="majorHAnsi" w:eastAsia="Arial Unicode MS" w:hAnsiTheme="majorHAnsi"/>
          <w:bdr w:val="nil"/>
        </w:rPr>
      </w:pPr>
      <w:r w:rsidRPr="005D35BB">
        <w:rPr>
          <w:rFonts w:asciiTheme="majorHAnsi" w:hAnsiTheme="majorHAnsi"/>
          <w:color w:val="000000" w:themeColor="text1"/>
          <w:bdr w:val="none" w:sz="0" w:space="0" w:color="auto" w:frame="1"/>
        </w:rPr>
        <w:t>Jei siūlomas objektas turi nurodytą pranašumą: T</w:t>
      </w:r>
      <w:r w:rsidRPr="005D35BB">
        <w:rPr>
          <w:rFonts w:asciiTheme="majorHAnsi" w:hAnsiTheme="majorHAnsi"/>
          <w:color w:val="000000" w:themeColor="text1"/>
          <w:bdr w:val="none" w:sz="0" w:space="0" w:color="auto" w:frame="1"/>
          <w:vertAlign w:val="subscript"/>
        </w:rPr>
        <w:t>2</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2 </w:t>
      </w:r>
      <w:r w:rsidRPr="005D35BB">
        <w:rPr>
          <w:rFonts w:asciiTheme="majorHAnsi" w:hAnsiTheme="majorHAnsi"/>
          <w:color w:val="000000" w:themeColor="text1"/>
          <w:bdr w:val="none" w:sz="0" w:space="0" w:color="auto" w:frame="1"/>
        </w:rPr>
        <w:t>= 0,50; T</w:t>
      </w:r>
      <w:r w:rsidRPr="005D35BB">
        <w:rPr>
          <w:rFonts w:asciiTheme="majorHAnsi" w:hAnsiTheme="majorHAnsi"/>
          <w:color w:val="000000" w:themeColor="text1"/>
          <w:bdr w:val="none" w:sz="0" w:space="0" w:color="auto" w:frame="1"/>
          <w:vertAlign w:val="subscript"/>
        </w:rPr>
        <w:t>3</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3 </w:t>
      </w:r>
      <w:r w:rsidRPr="005D35BB">
        <w:rPr>
          <w:rFonts w:asciiTheme="majorHAnsi" w:hAnsiTheme="majorHAnsi"/>
          <w:color w:val="000000" w:themeColor="text1"/>
          <w:bdr w:val="none" w:sz="0" w:space="0" w:color="auto" w:frame="1"/>
        </w:rPr>
        <w:t>= 0,10; T</w:t>
      </w:r>
      <w:r w:rsidRPr="005D35BB">
        <w:rPr>
          <w:rFonts w:asciiTheme="majorHAnsi" w:hAnsiTheme="majorHAnsi"/>
          <w:color w:val="000000" w:themeColor="text1"/>
          <w:bdr w:val="none" w:sz="0" w:space="0" w:color="auto" w:frame="1"/>
          <w:vertAlign w:val="subscript"/>
        </w:rPr>
        <w:t>4</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4 </w:t>
      </w:r>
      <w:r w:rsidRPr="005D35BB">
        <w:rPr>
          <w:rFonts w:asciiTheme="majorHAnsi" w:hAnsiTheme="majorHAnsi"/>
          <w:color w:val="000000" w:themeColor="text1"/>
          <w:bdr w:val="none" w:sz="0" w:space="0" w:color="auto" w:frame="1"/>
        </w:rPr>
        <w:t xml:space="preserve">= 0,10; </w:t>
      </w:r>
      <w:r w:rsidRPr="005D35BB">
        <w:rPr>
          <w:rFonts w:asciiTheme="majorHAnsi" w:hAnsiTheme="majorHAnsi"/>
          <w:color w:val="000000" w:themeColor="text1"/>
          <w:bdr w:val="none" w:sz="0" w:space="0" w:color="auto" w:frame="1"/>
        </w:rPr>
        <w:br/>
        <w:t>T</w:t>
      </w:r>
      <w:r w:rsidRPr="005D35BB">
        <w:rPr>
          <w:rFonts w:asciiTheme="majorHAnsi" w:hAnsiTheme="majorHAnsi"/>
          <w:color w:val="000000" w:themeColor="text1"/>
          <w:bdr w:val="none" w:sz="0" w:space="0" w:color="auto" w:frame="1"/>
          <w:vertAlign w:val="subscript"/>
        </w:rPr>
        <w:t>5</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5 </w:t>
      </w:r>
      <w:r w:rsidRPr="005D35BB">
        <w:rPr>
          <w:rFonts w:asciiTheme="majorHAnsi" w:hAnsiTheme="majorHAnsi"/>
          <w:color w:val="000000" w:themeColor="text1"/>
          <w:bdr w:val="none" w:sz="0" w:space="0" w:color="auto" w:frame="1"/>
        </w:rPr>
        <w:t>= 0,10; T</w:t>
      </w:r>
      <w:r w:rsidRPr="005D35BB">
        <w:rPr>
          <w:rFonts w:asciiTheme="majorHAnsi" w:hAnsiTheme="majorHAnsi"/>
          <w:color w:val="000000" w:themeColor="text1"/>
          <w:bdr w:val="none" w:sz="0" w:space="0" w:color="auto" w:frame="1"/>
          <w:vertAlign w:val="subscript"/>
        </w:rPr>
        <w:t>6</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6 </w:t>
      </w:r>
      <w:r w:rsidRPr="005D35BB">
        <w:rPr>
          <w:rFonts w:asciiTheme="majorHAnsi" w:hAnsiTheme="majorHAnsi"/>
          <w:color w:val="000000" w:themeColor="text1"/>
          <w:bdr w:val="none" w:sz="0" w:space="0" w:color="auto" w:frame="1"/>
        </w:rPr>
        <w:t>= 0,10.</w:t>
      </w:r>
    </w:p>
    <w:p w:rsidR="004843E4" w:rsidRPr="005D35BB" w:rsidRDefault="004843E4" w:rsidP="004843E4">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Theme="majorHAnsi" w:eastAsia="Arial Unicode MS" w:hAnsiTheme="majorHAnsi"/>
          <w:bdr w:val="nil"/>
        </w:rPr>
      </w:pPr>
      <w:r w:rsidRPr="005D35BB">
        <w:rPr>
          <w:rFonts w:asciiTheme="majorHAnsi" w:hAnsiTheme="majorHAnsi"/>
          <w:color w:val="000000" w:themeColor="text1"/>
          <w:bdr w:val="none" w:sz="0" w:space="0" w:color="auto" w:frame="1"/>
        </w:rPr>
        <w:t>Jei siūlomas objektas neturi nurodyto pranašumo: T</w:t>
      </w:r>
      <w:r w:rsidRPr="005D35BB">
        <w:rPr>
          <w:rFonts w:asciiTheme="majorHAnsi" w:hAnsiTheme="majorHAnsi"/>
          <w:color w:val="000000" w:themeColor="text1"/>
          <w:bdr w:val="none" w:sz="0" w:space="0" w:color="auto" w:frame="1"/>
          <w:vertAlign w:val="subscript"/>
        </w:rPr>
        <w:t>2</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2 </w:t>
      </w:r>
      <w:r w:rsidRPr="005D35BB">
        <w:rPr>
          <w:rFonts w:asciiTheme="majorHAnsi" w:hAnsiTheme="majorHAnsi"/>
          <w:color w:val="000000" w:themeColor="text1"/>
          <w:bdr w:val="none" w:sz="0" w:space="0" w:color="auto" w:frame="1"/>
        </w:rPr>
        <w:t>= 0; T</w:t>
      </w:r>
      <w:r w:rsidRPr="005D35BB">
        <w:rPr>
          <w:rFonts w:asciiTheme="majorHAnsi" w:hAnsiTheme="majorHAnsi"/>
          <w:color w:val="000000" w:themeColor="text1"/>
          <w:bdr w:val="none" w:sz="0" w:space="0" w:color="auto" w:frame="1"/>
          <w:vertAlign w:val="subscript"/>
        </w:rPr>
        <w:t>3</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3 </w:t>
      </w:r>
      <w:r w:rsidRPr="005D35BB">
        <w:rPr>
          <w:rFonts w:asciiTheme="majorHAnsi" w:hAnsiTheme="majorHAnsi"/>
          <w:color w:val="000000" w:themeColor="text1"/>
          <w:bdr w:val="none" w:sz="0" w:space="0" w:color="auto" w:frame="1"/>
        </w:rPr>
        <w:t>= 0; T</w:t>
      </w:r>
      <w:r w:rsidRPr="005D35BB">
        <w:rPr>
          <w:rFonts w:asciiTheme="majorHAnsi" w:hAnsiTheme="majorHAnsi"/>
          <w:color w:val="000000" w:themeColor="text1"/>
          <w:bdr w:val="none" w:sz="0" w:space="0" w:color="auto" w:frame="1"/>
          <w:vertAlign w:val="subscript"/>
        </w:rPr>
        <w:t>4</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4 </w:t>
      </w:r>
      <w:r w:rsidRPr="005D35BB">
        <w:rPr>
          <w:rFonts w:asciiTheme="majorHAnsi" w:hAnsiTheme="majorHAnsi"/>
          <w:color w:val="000000" w:themeColor="text1"/>
          <w:bdr w:val="none" w:sz="0" w:space="0" w:color="auto" w:frame="1"/>
        </w:rPr>
        <w:t>= 0; T</w:t>
      </w:r>
      <w:r w:rsidRPr="005D35BB">
        <w:rPr>
          <w:rFonts w:asciiTheme="majorHAnsi" w:hAnsiTheme="majorHAnsi"/>
          <w:color w:val="000000" w:themeColor="text1"/>
          <w:bdr w:val="none" w:sz="0" w:space="0" w:color="auto" w:frame="1"/>
          <w:vertAlign w:val="subscript"/>
        </w:rPr>
        <w:t>5</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5 </w:t>
      </w:r>
      <w:r w:rsidRPr="005D35BB">
        <w:rPr>
          <w:rFonts w:asciiTheme="majorHAnsi" w:hAnsiTheme="majorHAnsi"/>
          <w:color w:val="000000" w:themeColor="text1"/>
          <w:bdr w:val="none" w:sz="0" w:space="0" w:color="auto" w:frame="1"/>
        </w:rPr>
        <w:t>= 0; T</w:t>
      </w:r>
      <w:r w:rsidRPr="005D35BB">
        <w:rPr>
          <w:rFonts w:asciiTheme="majorHAnsi" w:hAnsiTheme="majorHAnsi"/>
          <w:color w:val="000000" w:themeColor="text1"/>
          <w:bdr w:val="none" w:sz="0" w:space="0" w:color="auto" w:frame="1"/>
          <w:vertAlign w:val="subscript"/>
        </w:rPr>
        <w:t>6</w:t>
      </w:r>
      <w:r w:rsidRPr="005D35BB">
        <w:rPr>
          <w:rFonts w:asciiTheme="majorHAnsi" w:hAnsiTheme="majorHAnsi"/>
          <w:color w:val="000000" w:themeColor="text1"/>
          <w:bdr w:val="none" w:sz="0" w:space="0" w:color="auto" w:frame="1"/>
        </w:rPr>
        <w:t xml:space="preserve"> = L</w:t>
      </w:r>
      <w:r w:rsidRPr="005D35BB">
        <w:rPr>
          <w:rFonts w:asciiTheme="majorHAnsi" w:hAnsiTheme="majorHAnsi"/>
          <w:color w:val="000000" w:themeColor="text1"/>
          <w:bdr w:val="none" w:sz="0" w:space="0" w:color="auto" w:frame="1"/>
          <w:vertAlign w:val="subscript"/>
        </w:rPr>
        <w:t xml:space="preserve">6 </w:t>
      </w:r>
      <w:r w:rsidRPr="005D35BB">
        <w:rPr>
          <w:rFonts w:asciiTheme="majorHAnsi" w:hAnsiTheme="majorHAnsi"/>
          <w:color w:val="000000" w:themeColor="text1"/>
          <w:bdr w:val="none" w:sz="0" w:space="0" w:color="auto" w:frame="1"/>
        </w:rPr>
        <w:t>= 0.</w:t>
      </w:r>
    </w:p>
    <w:p w:rsidR="004843E4" w:rsidRPr="005D35BB" w:rsidRDefault="004843E4" w:rsidP="004843E4">
      <w:pPr>
        <w:shd w:val="clear" w:color="auto" w:fill="FFFFFF"/>
        <w:jc w:val="both"/>
        <w:rPr>
          <w:rFonts w:asciiTheme="majorHAnsi" w:hAnsiTheme="majorHAnsi"/>
          <w:color w:val="000000" w:themeColor="text1"/>
          <w:sz w:val="22"/>
          <w:szCs w:val="22"/>
          <w:bdr w:val="none" w:sz="0" w:space="0" w:color="auto" w:frame="1"/>
        </w:rPr>
      </w:pPr>
    </w:p>
    <w:p w:rsidR="004843E4" w:rsidRPr="005D35BB" w:rsidRDefault="004843E4" w:rsidP="004843E4">
      <w:pPr>
        <w:tabs>
          <w:tab w:val="left" w:pos="851"/>
        </w:tabs>
        <w:suppressAutoHyphens/>
        <w:ind w:firstLine="709"/>
        <w:jc w:val="both"/>
        <w:rPr>
          <w:rFonts w:asciiTheme="majorHAnsi" w:hAnsiTheme="majorHAnsi"/>
          <w:sz w:val="22"/>
          <w:szCs w:val="22"/>
        </w:rPr>
      </w:pPr>
      <w:r w:rsidRPr="005D35BB">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4843E4" w:rsidRPr="005D35BB" w:rsidRDefault="004843E4" w:rsidP="004843E4">
      <w:pPr>
        <w:tabs>
          <w:tab w:val="left" w:pos="851"/>
        </w:tabs>
        <w:suppressAutoHyphens/>
        <w:ind w:left="360"/>
        <w:rPr>
          <w:rFonts w:asciiTheme="majorHAnsi" w:hAnsiTheme="majorHAnsi"/>
          <w:sz w:val="22"/>
          <w:szCs w:val="22"/>
        </w:rPr>
      </w:pPr>
    </w:p>
    <w:p w:rsidR="004843E4" w:rsidRPr="008919B1" w:rsidRDefault="004843E4" w:rsidP="004843E4">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4843E4" w:rsidRDefault="004843E4" w:rsidP="004843E4">
      <w:pPr>
        <w:jc w:val="both"/>
        <w:rPr>
          <w:rFonts w:ascii="Cambria" w:hAnsi="Cambria"/>
        </w:rPr>
      </w:pPr>
    </w:p>
    <w:p w:rsidR="004843E4" w:rsidRPr="008919B1" w:rsidRDefault="004843E4" w:rsidP="004843E4">
      <w:pPr>
        <w:jc w:val="both"/>
        <w:rPr>
          <w:rFonts w:ascii="Cambria" w:hAnsi="Cambria"/>
          <w:sz w:val="22"/>
          <w:szCs w:val="22"/>
        </w:rPr>
      </w:pPr>
    </w:p>
    <w:p w:rsidR="004843E4" w:rsidRPr="008919B1" w:rsidRDefault="004843E4" w:rsidP="004843E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919B1">
        <w:rPr>
          <w:rFonts w:ascii="Cambria" w:eastAsia="Arial Unicode MS" w:hAnsi="Cambria"/>
          <w:b/>
          <w:bCs/>
          <w:caps/>
          <w:spacing w:val="4"/>
          <w:bdr w:val="nil"/>
        </w:rPr>
        <w:t xml:space="preserve">Informavimas APIE VERTINIMO REZULTATUS </w:t>
      </w:r>
    </w:p>
    <w:p w:rsidR="004843E4" w:rsidRPr="008919B1" w:rsidRDefault="004843E4" w:rsidP="004843E4">
      <w:pPr>
        <w:pStyle w:val="Sraopastraipa"/>
        <w:pBdr>
          <w:top w:val="nil"/>
          <w:left w:val="nil"/>
          <w:bottom w:val="nil"/>
          <w:right w:val="nil"/>
          <w:between w:val="nil"/>
          <w:bar w:val="nil"/>
        </w:pBdr>
        <w:tabs>
          <w:tab w:val="left" w:pos="851"/>
        </w:tabs>
        <w:suppressAutoHyphens/>
        <w:spacing w:after="0" w:line="240" w:lineRule="auto"/>
        <w:ind w:left="360"/>
        <w:jc w:val="both"/>
        <w:rPr>
          <w:rFonts w:ascii="Cambria" w:eastAsia="Arial Unicode MS" w:hAnsi="Cambria"/>
          <w:vanish/>
          <w:bdr w:val="nil"/>
        </w:rPr>
      </w:pPr>
    </w:p>
    <w:p w:rsidR="004843E4" w:rsidRPr="008919B1" w:rsidRDefault="004843E4" w:rsidP="004843E4">
      <w:pPr>
        <w:pStyle w:val="Sraopastraipa"/>
        <w:pBdr>
          <w:top w:val="nil"/>
          <w:left w:val="nil"/>
          <w:bottom w:val="nil"/>
          <w:right w:val="nil"/>
          <w:between w:val="nil"/>
          <w:bar w:val="nil"/>
        </w:pBdr>
        <w:tabs>
          <w:tab w:val="left" w:pos="851"/>
        </w:tabs>
        <w:suppressAutoHyphens/>
        <w:spacing w:after="0" w:line="240" w:lineRule="auto"/>
        <w:ind w:left="0" w:firstLine="709"/>
        <w:jc w:val="both"/>
        <w:rPr>
          <w:rFonts w:ascii="Cambria" w:eastAsia="Arial Unicode MS" w:hAnsi="Cambria"/>
          <w:bdr w:val="nil"/>
        </w:rPr>
      </w:pPr>
      <w:r w:rsidRPr="008919B1">
        <w:rPr>
          <w:rFonts w:ascii="Cambria" w:hAnsi="Cambria"/>
          <w:color w:val="000000" w:themeColor="text1"/>
          <w:lang w:bidi="hi-IN"/>
        </w:rPr>
        <w:t>Laimėjusiu P</w:t>
      </w:r>
      <w:bookmarkStart w:id="7" w:name="_GoBack"/>
      <w:bookmarkEnd w:id="7"/>
      <w:r w:rsidRPr="008919B1">
        <w:rPr>
          <w:rFonts w:ascii="Cambria" w:hAnsi="Cambria"/>
          <w:color w:val="000000" w:themeColor="text1"/>
          <w:lang w:bidi="hi-IN"/>
        </w:rPr>
        <w:t>asiūlymu bus pripažintas Pasiūlymas, atitinkantis visus Pirkimo dokumentuose nustatytus reikalavimus, kurio ekonominis naudingumas (E) bus didžiausias.</w:t>
      </w:r>
    </w:p>
    <w:p w:rsidR="004843E4" w:rsidRPr="008919B1" w:rsidRDefault="004843E4" w:rsidP="004843E4">
      <w:pPr>
        <w:pStyle w:val="Sraopastraipa"/>
        <w:pBdr>
          <w:top w:val="nil"/>
          <w:left w:val="nil"/>
          <w:bottom w:val="nil"/>
          <w:right w:val="nil"/>
          <w:between w:val="nil"/>
          <w:bar w:val="nil"/>
        </w:pBdr>
        <w:tabs>
          <w:tab w:val="left" w:pos="851"/>
        </w:tabs>
        <w:suppressAutoHyphens/>
        <w:spacing w:after="0" w:line="240" w:lineRule="auto"/>
        <w:ind w:left="0" w:firstLine="709"/>
        <w:jc w:val="both"/>
        <w:rPr>
          <w:rFonts w:ascii="Cambria" w:eastAsia="Arial Unicode MS" w:hAnsi="Cambria"/>
          <w:bdr w:val="nil"/>
        </w:rPr>
      </w:pPr>
      <w:r w:rsidRPr="008919B1">
        <w:rPr>
          <w:rFonts w:ascii="Cambria" w:hAnsi="Cambria"/>
          <w:color w:val="000000" w:themeColor="text1"/>
        </w:rPr>
        <w:t>Tais atvejais, kai kelių dalyvių pasiūlymų ekonominis naudingumas yra vienodas, nustatant pasiūlymų eilę, pirmesnis į šią eilę įrašomas dalyvis, kurio pasiūlymas pateiktas anksčiausiai.</w:t>
      </w:r>
    </w:p>
    <w:p w:rsidR="006D78CB" w:rsidRDefault="006D78CB" w:rsidP="003714C3">
      <w:pPr>
        <w:suppressAutoHyphens/>
        <w:jc w:val="both"/>
        <w:rPr>
          <w:rFonts w:asciiTheme="majorHAnsi" w:hAnsiTheme="majorHAnsi"/>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5C24C1">
        <w:rPr>
          <w:rFonts w:asciiTheme="majorHAnsi" w:hAnsiTheme="majorHAnsi"/>
          <w:b/>
          <w:bCs/>
          <w:sz w:val="22"/>
          <w:szCs w:val="22"/>
          <w:lang w:val="lt-LT"/>
        </w:rPr>
        <w:t>HEMODIALIZĖS APARATŲ</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3B1782" w:rsidRPr="003714C3" w:rsidTr="003B1782">
        <w:trPr>
          <w:trHeight w:val="510"/>
        </w:trPr>
        <w:tc>
          <w:tcPr>
            <w:tcW w:w="704" w:type="dxa"/>
            <w:vAlign w:val="center"/>
          </w:tcPr>
          <w:p w:rsidR="003B1782" w:rsidRPr="003714C3" w:rsidRDefault="003B1782" w:rsidP="003B178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lang w:bidi="lt-LT"/>
              </w:rPr>
            </w:pPr>
            <w:r w:rsidRPr="008919B1">
              <w:rPr>
                <w:rFonts w:ascii="Cambria" w:hAnsi="Cambria"/>
                <w:bCs/>
                <w:sz w:val="22"/>
                <w:szCs w:val="22"/>
                <w:lang w:bidi="lt-LT"/>
              </w:rPr>
              <w:t xml:space="preserve">Įrangai suteikiama ilgesnė negu 24 mėn. garantija. </w:t>
            </w:r>
          </w:p>
          <w:p w:rsidR="003B1782" w:rsidRPr="008919B1" w:rsidRDefault="003B1782" w:rsidP="003B1782">
            <w:pPr>
              <w:pStyle w:val="prastasiniatinklio"/>
              <w:jc w:val="both"/>
              <w:rPr>
                <w:rFonts w:ascii="Cambria" w:hAnsi="Cambria"/>
                <w:bCs/>
                <w:sz w:val="22"/>
                <w:szCs w:val="22"/>
                <w:lang w:bidi="lt-LT"/>
              </w:rPr>
            </w:pPr>
          </w:p>
          <w:p w:rsidR="003B1782" w:rsidRPr="008919B1" w:rsidRDefault="003B1782" w:rsidP="003B1782">
            <w:pPr>
              <w:pStyle w:val="prastasiniatinklio"/>
              <w:jc w:val="both"/>
              <w:rPr>
                <w:rFonts w:ascii="Cambria" w:hAnsi="Cambria"/>
                <w:bCs/>
                <w:i/>
                <w:sz w:val="22"/>
                <w:szCs w:val="22"/>
              </w:rPr>
            </w:pPr>
            <w:r w:rsidRPr="008919B1">
              <w:rPr>
                <w:rFonts w:ascii="Cambria" w:hAnsi="Cambria"/>
                <w:bCs/>
                <w:i/>
                <w:sz w:val="22"/>
                <w:szCs w:val="22"/>
                <w:lang w:bidi="lt-LT"/>
              </w:rPr>
              <w:t>Pastaba: Balas skiriamas už kiekvienus papildomus 12 mėn.</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B1782" w:rsidRPr="003714C3" w:rsidTr="003B1782">
        <w:trPr>
          <w:trHeight w:val="510"/>
        </w:trPr>
        <w:tc>
          <w:tcPr>
            <w:tcW w:w="704" w:type="dxa"/>
            <w:vAlign w:val="center"/>
          </w:tcPr>
          <w:p w:rsidR="003B1782" w:rsidRPr="003714C3" w:rsidRDefault="003B1782" w:rsidP="003B1782">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rPr>
            </w:pPr>
            <w:r w:rsidRPr="008919B1">
              <w:rPr>
                <w:rFonts w:ascii="Cambria" w:hAnsi="Cambria"/>
                <w:bCs/>
                <w:sz w:val="22"/>
                <w:szCs w:val="22"/>
              </w:rPr>
              <w:t>Kraujo tūrio sekimo arba hematokrito sekimo funkcija</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B1782" w:rsidRPr="003714C3" w:rsidTr="003B1782">
        <w:trPr>
          <w:trHeight w:val="510"/>
        </w:trPr>
        <w:tc>
          <w:tcPr>
            <w:tcW w:w="704" w:type="dxa"/>
            <w:vAlign w:val="center"/>
          </w:tcPr>
          <w:p w:rsidR="003B1782" w:rsidRPr="003714C3" w:rsidRDefault="003B1782" w:rsidP="003B1782">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rPr>
            </w:pPr>
            <w:r w:rsidRPr="008919B1">
              <w:rPr>
                <w:rFonts w:ascii="Cambria" w:hAnsi="Cambria"/>
                <w:bCs/>
                <w:sz w:val="22"/>
                <w:szCs w:val="22"/>
              </w:rPr>
              <w:t>Pakaitinio tirpalo gamybos ir naudojimo kraujo magistralės užpildymui, praplovimui ir vienkartiniams skysčio Bolusams funkcija</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B1782" w:rsidRPr="003714C3" w:rsidTr="003B1782">
        <w:trPr>
          <w:trHeight w:val="510"/>
        </w:trPr>
        <w:tc>
          <w:tcPr>
            <w:tcW w:w="704" w:type="dxa"/>
            <w:vAlign w:val="center"/>
          </w:tcPr>
          <w:p w:rsidR="003B1782" w:rsidRPr="003714C3" w:rsidRDefault="003B1782" w:rsidP="003B1782">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rPr>
            </w:pPr>
            <w:r w:rsidRPr="008919B1">
              <w:rPr>
                <w:rFonts w:ascii="Cambria" w:hAnsi="Cambria"/>
                <w:bCs/>
                <w:sz w:val="22"/>
                <w:szCs w:val="22"/>
              </w:rPr>
              <w:t>Individualus natrio kontrolės valdymas ir reguliavimas</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B1782" w:rsidRPr="003714C3" w:rsidTr="003B1782">
        <w:trPr>
          <w:trHeight w:val="510"/>
        </w:trPr>
        <w:tc>
          <w:tcPr>
            <w:tcW w:w="704" w:type="dxa"/>
            <w:vAlign w:val="center"/>
          </w:tcPr>
          <w:p w:rsidR="003B1782" w:rsidRPr="003714C3" w:rsidRDefault="003B1782" w:rsidP="003B178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536672">
              <w:rPr>
                <w:rFonts w:asciiTheme="majorHAnsi" w:hAnsiTheme="majorHAnsi"/>
                <w:color w:val="000000" w:themeColor="text1"/>
                <w:sz w:val="22"/>
                <w:szCs w:val="22"/>
                <w:vertAlign w:val="subscript"/>
              </w:rPr>
              <w:t>5</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rPr>
            </w:pPr>
            <w:r w:rsidRPr="008919B1">
              <w:rPr>
                <w:rFonts w:ascii="Cambria" w:hAnsi="Cambria"/>
                <w:bCs/>
                <w:sz w:val="22"/>
                <w:szCs w:val="22"/>
              </w:rPr>
              <w:t>Hemodializės aparato kraujo pompų darbingumas užtikrinamas ≥ 15 min., nutrūkus elektros tiekimui iš elektros tinklo</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3B1782" w:rsidRPr="003714C3" w:rsidTr="003B1782">
        <w:trPr>
          <w:trHeight w:val="510"/>
        </w:trPr>
        <w:tc>
          <w:tcPr>
            <w:tcW w:w="704" w:type="dxa"/>
            <w:vAlign w:val="center"/>
          </w:tcPr>
          <w:p w:rsidR="003B1782" w:rsidRPr="003714C3" w:rsidRDefault="003B1782" w:rsidP="003B178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536672">
              <w:rPr>
                <w:rFonts w:asciiTheme="majorHAnsi" w:hAnsiTheme="majorHAnsi"/>
                <w:color w:val="000000" w:themeColor="text1"/>
                <w:sz w:val="22"/>
                <w:szCs w:val="22"/>
                <w:vertAlign w:val="subscript"/>
              </w:rPr>
              <w:t>6</w:t>
            </w:r>
          </w:p>
        </w:tc>
        <w:tc>
          <w:tcPr>
            <w:tcW w:w="3544" w:type="dxa"/>
            <w:shd w:val="clear" w:color="auto" w:fill="auto"/>
            <w:vAlign w:val="center"/>
          </w:tcPr>
          <w:p w:rsidR="003B1782" w:rsidRPr="008919B1" w:rsidRDefault="003B1782" w:rsidP="003B1782">
            <w:pPr>
              <w:pStyle w:val="prastasiniatinklio"/>
              <w:jc w:val="both"/>
              <w:rPr>
                <w:rFonts w:ascii="Cambria" w:hAnsi="Cambria"/>
                <w:bCs/>
                <w:sz w:val="22"/>
                <w:szCs w:val="22"/>
              </w:rPr>
            </w:pPr>
            <w:r w:rsidRPr="008919B1">
              <w:rPr>
                <w:rFonts w:ascii="Cambria" w:hAnsi="Cambria"/>
                <w:bCs/>
                <w:sz w:val="22"/>
                <w:szCs w:val="22"/>
              </w:rPr>
              <w:t>Vartotojo sąsaja lietuvių kalba</w:t>
            </w:r>
          </w:p>
        </w:tc>
        <w:tc>
          <w:tcPr>
            <w:tcW w:w="2126"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B1782" w:rsidRPr="003714C3" w:rsidRDefault="003B1782" w:rsidP="003B178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2EE" w:rsidRDefault="000972EE" w:rsidP="00922417">
      <w:r>
        <w:separator/>
      </w:r>
    </w:p>
  </w:endnote>
  <w:endnote w:type="continuationSeparator" w:id="0">
    <w:p w:rsidR="000972EE" w:rsidRDefault="000972E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8CB" w:rsidRDefault="006D78CB">
    <w:pPr>
      <w:pStyle w:val="Porat"/>
      <w:jc w:val="right"/>
    </w:pPr>
  </w:p>
  <w:p w:rsidR="006D78CB" w:rsidRDefault="006D78C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8CB" w:rsidRDefault="006D78CB">
    <w:pPr>
      <w:pStyle w:val="Porat"/>
      <w:jc w:val="right"/>
    </w:pPr>
  </w:p>
  <w:p w:rsidR="006D78CB" w:rsidRDefault="006D78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2EE" w:rsidRDefault="000972EE" w:rsidP="00922417">
      <w:r>
        <w:separator/>
      </w:r>
    </w:p>
  </w:footnote>
  <w:footnote w:type="continuationSeparator" w:id="0">
    <w:p w:rsidR="000972EE" w:rsidRDefault="000972EE" w:rsidP="00922417">
      <w:r>
        <w:continuationSeparator/>
      </w:r>
    </w:p>
  </w:footnote>
  <w:footnote w:id="1">
    <w:p w:rsidR="006D78CB" w:rsidRPr="00C54A7B" w:rsidRDefault="006D78CB"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78CB" w:rsidRPr="00C54A7B" w:rsidRDefault="006D78CB" w:rsidP="00401D35">
      <w:pPr>
        <w:pStyle w:val="Puslapioinaostekstas"/>
        <w:numPr>
          <w:ilvl w:val="0"/>
          <w:numId w:val="6"/>
        </w:numPr>
        <w:rPr>
          <w:rFonts w:eastAsia="Yu Mincho"/>
          <w:i/>
          <w:iCs/>
        </w:rPr>
      </w:pPr>
      <w:r w:rsidRPr="00C54A7B">
        <w:rPr>
          <w:rFonts w:eastAsia="Yu Mincho"/>
          <w:i/>
          <w:iCs/>
        </w:rPr>
        <w:t xml:space="preserve">priesaikos deklaracija; </w:t>
      </w:r>
    </w:p>
    <w:p w:rsidR="006D78CB" w:rsidRDefault="006D78CB"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D78CB" w:rsidRPr="00551FCA" w:rsidRDefault="006D78CB"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6"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7"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3"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10"/>
  </w:num>
  <w:num w:numId="5">
    <w:abstractNumId w:val="19"/>
  </w:num>
  <w:num w:numId="6">
    <w:abstractNumId w:val="20"/>
  </w:num>
  <w:num w:numId="7">
    <w:abstractNumId w:val="4"/>
  </w:num>
  <w:num w:numId="8">
    <w:abstractNumId w:val="21"/>
  </w:num>
  <w:num w:numId="9">
    <w:abstractNumId w:val="13"/>
  </w:num>
  <w:num w:numId="10">
    <w:abstractNumId w:val="22"/>
  </w:num>
  <w:num w:numId="11">
    <w:abstractNumId w:val="3"/>
  </w:num>
  <w:num w:numId="12">
    <w:abstractNumId w:val="12"/>
  </w:num>
  <w:num w:numId="13">
    <w:abstractNumId w:val="27"/>
  </w:num>
  <w:num w:numId="14">
    <w:abstractNumId w:val="0"/>
  </w:num>
  <w:num w:numId="15">
    <w:abstractNumId w:val="16"/>
  </w:num>
  <w:num w:numId="16">
    <w:abstractNumId w:val="1"/>
  </w:num>
  <w:num w:numId="17">
    <w:abstractNumId w:val="18"/>
  </w:num>
  <w:num w:numId="18">
    <w:abstractNumId w:val="26"/>
  </w:num>
  <w:num w:numId="19">
    <w:abstractNumId w:val="6"/>
  </w:num>
  <w:num w:numId="20">
    <w:abstractNumId w:val="5"/>
  </w:num>
  <w:num w:numId="21">
    <w:abstractNumId w:val="14"/>
  </w:num>
  <w:num w:numId="22">
    <w:abstractNumId w:val="23"/>
  </w:num>
  <w:num w:numId="23">
    <w:abstractNumId w:val="8"/>
  </w:num>
  <w:num w:numId="24">
    <w:abstractNumId w:val="2"/>
  </w:num>
  <w:num w:numId="25">
    <w:abstractNumId w:val="15"/>
  </w:num>
  <w:num w:numId="26">
    <w:abstractNumId w:val="17"/>
  </w:num>
  <w:num w:numId="27">
    <w:abstractNumId w:val="1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972EE"/>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782"/>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384F"/>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29C9"/>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E0F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21E3B-43F9-451E-A442-046DEAE7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24</Pages>
  <Words>46110</Words>
  <Characters>26283</Characters>
  <Application>Microsoft Office Word</Application>
  <DocSecurity>0</DocSecurity>
  <Lines>219</Lines>
  <Paragraphs>144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2025-10-28T17:45:00Z</dcterms:modified>
</cp:coreProperties>
</file>