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4368D2E7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KONSULTACIJA DĖL </w:t>
      </w:r>
      <w:r w:rsidR="00957330">
        <w:rPr>
          <w:b/>
          <w:color w:val="000000" w:themeColor="text1"/>
        </w:rPr>
        <w:t>DARBO RŪBŲ</w:t>
      </w:r>
      <w:r w:rsidR="003C3937" w:rsidRPr="003C3937">
        <w:rPr>
          <w:b/>
          <w:color w:val="000000" w:themeColor="text1"/>
        </w:rPr>
        <w:t xml:space="preserve"> </w:t>
      </w:r>
      <w:r w:rsidRPr="00B96140">
        <w:rPr>
          <w:rFonts w:cs="Times New Roman"/>
          <w:b/>
          <w:bCs/>
          <w:lang w:val="lt-LT"/>
        </w:rPr>
        <w:t>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54C62470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„</w:t>
      </w:r>
      <w:r w:rsidR="00C76EAA">
        <w:rPr>
          <w:lang w:val="lt-LT" w:eastAsia="lt-LT"/>
        </w:rPr>
        <w:t>Darbo rūbai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“ įgyvendinimui,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3D4514F8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92079D">
        <w:rPr>
          <w:lang w:val="lt-LT" w:eastAsia="lt-LT"/>
        </w:rPr>
        <w:t>Darbo rūbų</w:t>
      </w:r>
      <w:r w:rsidR="00B96140" w:rsidRPr="00E41CA6">
        <w:rPr>
          <w:rFonts w:cs="Times New Roman"/>
          <w:lang w:val="lt-LT"/>
        </w:rPr>
        <w:t xml:space="preserve"> pirkim</w:t>
      </w:r>
      <w:r w:rsidR="00AF5B2A">
        <w:rPr>
          <w:rFonts w:cs="Times New Roman"/>
          <w:lang w:val="lt-LT"/>
        </w:rPr>
        <w:t>as</w:t>
      </w:r>
      <w:r w:rsidR="00591BD1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3C3937">
        <w:rPr>
          <w:rFonts w:cs="Times New Roman"/>
          <w:lang w:val="lt-LT"/>
        </w:rPr>
        <w:t>Prekė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1A0BDAD5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3C3937">
        <w:rPr>
          <w:rFonts w:cs="Times New Roman"/>
          <w:lang w:val="lt-LT"/>
        </w:rPr>
        <w:t>Prekės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5DEF2DEE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2025-</w:t>
      </w:r>
      <w:r w:rsidR="00F934CA">
        <w:rPr>
          <w:rFonts w:eastAsia="Times New Roman" w:cs="Times New Roman"/>
          <w:color w:val="000000"/>
          <w:kern w:val="0"/>
          <w:lang w:val="lt-LT" w:eastAsia="lt-LT" w:bidi="ar-SA"/>
        </w:rPr>
        <w:t>11-10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1</w:t>
      </w:r>
      <w:r w:rsidR="003C3937">
        <w:rPr>
          <w:rFonts w:eastAsia="Times New Roman" w:cs="Times New Roman"/>
          <w:kern w:val="0"/>
          <w:lang w:val="lt-LT" w:eastAsia="lt-LT" w:bidi="ar-SA"/>
        </w:rPr>
        <w:t>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.00 val.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732D3F">
        <w:rPr>
          <w:rFonts w:eastAsia="Times New Roman" w:cs="Times New Roman"/>
          <w:color w:val="000000"/>
          <w:kern w:val="0"/>
          <w:lang w:val="lt-LT" w:eastAsia="lt-LT" w:bidi="ar-SA"/>
        </w:rPr>
        <w:t>specifikacijai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Klausimas</w:t>
            </w:r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Tiekėjo atsakymas</w:t>
            </w:r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Konfi-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dencialu</w:t>
            </w:r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0D25DF04" w:rsidR="00B00C83" w:rsidRPr="00763A5E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</w:t>
            </w:r>
            <w:r w:rsidR="00F17015">
              <w:rPr>
                <w:rFonts w:cs="Calibri"/>
                <w:lang w:val="lt-LT"/>
              </w:rPr>
              <w:t>,</w:t>
            </w:r>
            <w:r w:rsidRPr="00763A5E">
              <w:rPr>
                <w:rFonts w:cs="Calibri"/>
                <w:lang w:val="lt-LT"/>
              </w:rPr>
              <w:t xml:space="preserve"> k</w:t>
            </w:r>
            <w:r w:rsidR="0084725F" w:rsidRPr="00763A5E">
              <w:rPr>
                <w:rFonts w:cs="Times New Roman"/>
                <w:lang w:val="lt-LT"/>
              </w:rPr>
              <w:t xml:space="preserve">okia techninėje </w:t>
            </w:r>
            <w:r w:rsidR="00DC1887" w:rsidRPr="00763A5E">
              <w:rPr>
                <w:rFonts w:cs="Times New Roman"/>
                <w:lang w:val="lt-LT"/>
              </w:rPr>
              <w:t>specifikacijoje aprašyt</w:t>
            </w:r>
            <w:r w:rsidR="00552984">
              <w:rPr>
                <w:rFonts w:cs="Times New Roman"/>
                <w:lang w:val="lt-LT"/>
              </w:rPr>
              <w:t>os</w:t>
            </w:r>
            <w:r w:rsidR="00DC1887" w:rsidRPr="00763A5E">
              <w:rPr>
                <w:rFonts w:cs="Times New Roman"/>
                <w:lang w:val="lt-LT"/>
              </w:rPr>
              <w:t xml:space="preserve"> </w:t>
            </w:r>
            <w:r w:rsidR="003C3937">
              <w:rPr>
                <w:rFonts w:cs="Times New Roman"/>
                <w:lang w:val="lt-LT"/>
              </w:rPr>
              <w:t>Prek</w:t>
            </w:r>
            <w:r w:rsidR="00417B97">
              <w:rPr>
                <w:rFonts w:cs="Times New Roman"/>
                <w:lang w:val="lt-LT"/>
              </w:rPr>
              <w:t>ės</w:t>
            </w:r>
            <w:r w:rsidR="0084725F" w:rsidRPr="00763A5E">
              <w:rPr>
                <w:rFonts w:cs="Times New Roman"/>
                <w:lang w:val="lt-LT"/>
              </w:rPr>
              <w:t xml:space="preserve"> kaina </w:t>
            </w:r>
            <w:r w:rsidR="00494770" w:rsidRPr="00763A5E">
              <w:rPr>
                <w:rFonts w:cs="Times New Roman"/>
                <w:lang w:val="lt-LT"/>
              </w:rPr>
              <w:t>be PVM</w:t>
            </w:r>
            <w:r w:rsidR="0084725F" w:rsidRPr="00763A5E">
              <w:rPr>
                <w:rFonts w:cs="Times New Roman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6F23487C" w14:textId="413ACD76" w:rsidR="00B00C83" w:rsidRPr="00763A5E" w:rsidRDefault="00B00C83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7A0A6FF" w14:textId="1C27E2F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064DBC19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3C3937">
              <w:rPr>
                <w:rFonts w:cs="Calibri"/>
                <w:color w:val="000000"/>
                <w:lang w:val="lt-LT"/>
              </w:rPr>
              <w:t>ą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3C3937">
              <w:rPr>
                <w:rFonts w:cs="Calibri"/>
                <w:color w:val="000000"/>
                <w:lang w:val="lt-LT"/>
              </w:rPr>
              <w:t>Prekę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>Ar yra esminių reikalavimų, kurie turėtų būti pašalinti arba kuriais turėtų būti papildyta Techninė 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7A9A531B" w:rsidR="00794C0E" w:rsidRPr="00763A5E" w:rsidRDefault="00724B76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</w:t>
            </w:r>
            <w:r w:rsidR="00794C0E" w:rsidRPr="00763A5E">
              <w:rPr>
                <w:rFonts w:cs="Times New Roman"/>
                <w:color w:val="auto"/>
                <w:lang w:val="lt-LT"/>
              </w:rPr>
              <w:lastRenderedPageBreak/>
              <w:t>kuriuos perkančiosios organizacijos turi taikyti pirkdamos prekes, paslaugas ar darbus, taikymo tvarkos apraš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>, patvirtint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4210032B" w:rsidR="00B64729" w:rsidRPr="00763A5E" w:rsidRDefault="00447704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8768C5">
              <w:rPr>
                <w:rFonts w:cs="Times New Roman"/>
                <w:color w:val="auto"/>
                <w:lang w:val="lt-LT"/>
              </w:rPr>
              <w:t>Kokia galėtų būti taikoma garantija darbo rūbams</w:t>
            </w:r>
            <w:r w:rsidR="00B64729"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52F7979A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AC3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33AC3" w:rsidRPr="00763A5E" w14:paraId="549E6562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336FE9B" w14:textId="77777777" w:rsidR="00233AC3" w:rsidRPr="00763A5E" w:rsidRDefault="00233AC3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3FD23356" w14:textId="626CB479" w:rsidR="00233AC3" w:rsidRPr="008768C5" w:rsidRDefault="002C5B35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9D36B4">
              <w:rPr>
                <w:rFonts w:cs="Times New Roman"/>
                <w:color w:val="auto"/>
                <w:lang w:val="lt-LT"/>
              </w:rPr>
              <w:t xml:space="preserve">Ar tiekėjas galėtų pateikti </w:t>
            </w:r>
            <w:r w:rsidR="008F5A0D" w:rsidRPr="009D36B4">
              <w:rPr>
                <w:rFonts w:cs="Times New Roman"/>
                <w:color w:val="auto"/>
                <w:lang w:val="lt-LT"/>
              </w:rPr>
              <w:t>Perkančiajam subjektui</w:t>
            </w:r>
            <w:r w:rsidR="00A970C2" w:rsidRPr="009D36B4">
              <w:rPr>
                <w:rFonts w:cs="Times New Roman"/>
                <w:color w:val="auto"/>
                <w:lang w:val="lt-LT"/>
              </w:rPr>
              <w:t xml:space="preserve"> Prekės fizinius pavyzdžius iki pirkimo konkurso paskelbimo</w:t>
            </w:r>
            <w:r w:rsidR="009D36B4">
              <w:rPr>
                <w:rFonts w:cs="Times New Roman"/>
                <w:color w:val="auto"/>
                <w:lang w:val="lt-LT"/>
              </w:rPr>
              <w:t>?</w:t>
            </w:r>
          </w:p>
        </w:tc>
        <w:tc>
          <w:tcPr>
            <w:tcW w:w="3956" w:type="dxa"/>
          </w:tcPr>
          <w:p w14:paraId="7E083877" w14:textId="77777777" w:rsidR="00233AC3" w:rsidRPr="00763A5E" w:rsidRDefault="00233AC3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2577A2F5" w14:textId="59D8963E" w:rsidR="00233AC3" w:rsidRPr="00763A5E" w:rsidRDefault="00233AC3" w:rsidP="00233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93347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C6B1F59" w14:textId="79B361B3" w:rsidR="00233AC3" w:rsidRDefault="00233AC3" w:rsidP="00233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69133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01218B8F" w:rsidR="007D0A04" w:rsidRDefault="007D0A04" w:rsidP="00AD7052">
      <w:r w:rsidRPr="00763A5E">
        <w:rPr>
          <w:lang w:val="lt-LT"/>
        </w:rPr>
        <w:t>PRIDEDAMA. Techninė specifikacija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6697" w14:textId="77777777" w:rsidR="00167048" w:rsidRDefault="00167048" w:rsidP="00B00C83">
      <w:r>
        <w:separator/>
      </w:r>
    </w:p>
  </w:endnote>
  <w:endnote w:type="continuationSeparator" w:id="0">
    <w:p w14:paraId="5D2644C9" w14:textId="77777777" w:rsidR="00167048" w:rsidRDefault="00167048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18B5" w14:textId="77777777" w:rsidR="00167048" w:rsidRDefault="00167048" w:rsidP="00B00C83">
      <w:r>
        <w:separator/>
      </w:r>
    </w:p>
  </w:footnote>
  <w:footnote w:type="continuationSeparator" w:id="0">
    <w:p w14:paraId="17FCEE2C" w14:textId="77777777" w:rsidR="00167048" w:rsidRDefault="00167048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839C8"/>
    <w:rsid w:val="000E1B11"/>
    <w:rsid w:val="00146A45"/>
    <w:rsid w:val="00165844"/>
    <w:rsid w:val="00165D88"/>
    <w:rsid w:val="00167048"/>
    <w:rsid w:val="00173F69"/>
    <w:rsid w:val="0017462E"/>
    <w:rsid w:val="001C7EC2"/>
    <w:rsid w:val="001C7FEB"/>
    <w:rsid w:val="00233AC3"/>
    <w:rsid w:val="002C2EB9"/>
    <w:rsid w:val="002C5B35"/>
    <w:rsid w:val="002E432C"/>
    <w:rsid w:val="00313107"/>
    <w:rsid w:val="003C3937"/>
    <w:rsid w:val="00417B97"/>
    <w:rsid w:val="00421447"/>
    <w:rsid w:val="00430950"/>
    <w:rsid w:val="00447704"/>
    <w:rsid w:val="00493F91"/>
    <w:rsid w:val="00494770"/>
    <w:rsid w:val="00552984"/>
    <w:rsid w:val="00556626"/>
    <w:rsid w:val="0055770B"/>
    <w:rsid w:val="00591BD1"/>
    <w:rsid w:val="005F0AD1"/>
    <w:rsid w:val="00611120"/>
    <w:rsid w:val="00637F48"/>
    <w:rsid w:val="006F5187"/>
    <w:rsid w:val="00724B76"/>
    <w:rsid w:val="00727913"/>
    <w:rsid w:val="00731888"/>
    <w:rsid w:val="00732D3F"/>
    <w:rsid w:val="00763A5E"/>
    <w:rsid w:val="00794C0E"/>
    <w:rsid w:val="007B3242"/>
    <w:rsid w:val="007C56AF"/>
    <w:rsid w:val="007D0A04"/>
    <w:rsid w:val="008134F5"/>
    <w:rsid w:val="0084725F"/>
    <w:rsid w:val="00855261"/>
    <w:rsid w:val="0087015C"/>
    <w:rsid w:val="008768C5"/>
    <w:rsid w:val="008939C9"/>
    <w:rsid w:val="008D3D3D"/>
    <w:rsid w:val="008F554A"/>
    <w:rsid w:val="008F5A0D"/>
    <w:rsid w:val="009137AA"/>
    <w:rsid w:val="0092079D"/>
    <w:rsid w:val="00957330"/>
    <w:rsid w:val="00957396"/>
    <w:rsid w:val="00990E5A"/>
    <w:rsid w:val="009C7FD3"/>
    <w:rsid w:val="009D36B4"/>
    <w:rsid w:val="009E3133"/>
    <w:rsid w:val="00A07152"/>
    <w:rsid w:val="00A970C2"/>
    <w:rsid w:val="00AD6955"/>
    <w:rsid w:val="00AD7052"/>
    <w:rsid w:val="00AF5B2A"/>
    <w:rsid w:val="00B00C83"/>
    <w:rsid w:val="00B64729"/>
    <w:rsid w:val="00B67489"/>
    <w:rsid w:val="00B96140"/>
    <w:rsid w:val="00BC5B08"/>
    <w:rsid w:val="00C46042"/>
    <w:rsid w:val="00C679F3"/>
    <w:rsid w:val="00C76EAA"/>
    <w:rsid w:val="00C7737D"/>
    <w:rsid w:val="00CE67E6"/>
    <w:rsid w:val="00D108E4"/>
    <w:rsid w:val="00D13047"/>
    <w:rsid w:val="00D45884"/>
    <w:rsid w:val="00D85DCF"/>
    <w:rsid w:val="00D97649"/>
    <w:rsid w:val="00D97F33"/>
    <w:rsid w:val="00DC1887"/>
    <w:rsid w:val="00E41CA6"/>
    <w:rsid w:val="00E84D58"/>
    <w:rsid w:val="00E93F72"/>
    <w:rsid w:val="00EE4890"/>
    <w:rsid w:val="00F17015"/>
    <w:rsid w:val="00F50A94"/>
    <w:rsid w:val="00F934CA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Lina Dulinskienė</cp:lastModifiedBy>
  <cp:revision>17</cp:revision>
  <dcterms:created xsi:type="dcterms:W3CDTF">2025-10-30T08:49:00Z</dcterms:created>
  <dcterms:modified xsi:type="dcterms:W3CDTF">2025-10-30T12:06:00Z</dcterms:modified>
</cp:coreProperties>
</file>