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Arial Unicode MS"/>
          <w:b/>
          <w:bCs/>
          <w:u w:val="none" w:color="000000"/>
        </w:rPr>
      </w:pPr>
      <w:r>
        <w:rPr>
          <w:rFonts w:eastAsia="Arial Unicode MS"/>
          <w:b/>
          <w:bCs/>
          <w:caps/>
          <w:u w:val="none" w:color="000000"/>
        </w:rPr>
        <w:t xml:space="preserve">SUPERVIZIJŲ </w:t>
      </w:r>
      <w:r>
        <w:rPr>
          <w:rFonts w:eastAsia="Arial Unicode MS"/>
          <w:b/>
          <w:bCs/>
          <w:u w:val="none" w:color="000000"/>
        </w:rPr>
        <w:t>PASLAUGŲ PIRKIMO TECHNINĖ SPECIFIKACIJA</w:t>
      </w:r>
    </w:p>
    <w:p>
      <w:pPr>
        <w:pStyle w:val="Normal"/>
        <w:tabs>
          <w:tab w:val="clear" w:pos="1296"/>
          <w:tab w:val="left" w:pos="567" w:leader="none"/>
        </w:tabs>
        <w:suppressAutoHyphens w:val="true"/>
        <w:spacing w:lineRule="auto" w:line="276" w:before="240" w:after="240"/>
        <w:jc w:val="center"/>
        <w:rPr>
          <w:rFonts w:eastAsia="Arial Unicode MS"/>
          <w:b/>
          <w:bCs/>
          <w:u w:val="none" w:color="000000"/>
        </w:rPr>
      </w:pPr>
      <w:r>
        <w:rPr>
          <w:rFonts w:eastAsia="Arial Unicode MS"/>
          <w:b/>
          <w:bCs/>
          <w:u w:val="none" w:color="000000"/>
        </w:rPr>
        <w:t>1. ĮVADINĖ DALIS</w:t>
      </w:r>
    </w:p>
    <w:p>
      <w:pPr>
        <w:pStyle w:val="Normal"/>
        <w:tabs>
          <w:tab w:val="clear" w:pos="1296"/>
          <w:tab w:val="left" w:pos="567" w:leader="none"/>
        </w:tabs>
        <w:suppressAutoHyphens w:val="true"/>
        <w:spacing w:lineRule="auto" w:line="312"/>
        <w:ind w:firstLine="851"/>
        <w:jc w:val="both"/>
        <w:rPr>
          <w:rFonts w:eastAsia="Arial Unicode MS"/>
        </w:rPr>
      </w:pPr>
      <w:r>
        <w:rPr>
          <w:rFonts w:eastAsia="Arial Unicode MS"/>
          <w:u w:val="none" w:color="000000"/>
        </w:rPr>
        <w:t>1.1. Perkančioji organizacija</w:t>
      </w:r>
      <w:r>
        <w:rPr>
          <w:rFonts w:eastAsia="Arial Unicode MS"/>
          <w:b/>
          <w:bCs/>
          <w:u w:val="none" w:color="000000"/>
        </w:rPr>
        <w:t xml:space="preserve"> - </w:t>
      </w:r>
      <w:r>
        <w:rPr>
          <w:rFonts w:eastAsia="Arial Unicode MS"/>
          <w:u w:val="none" w:color="000000"/>
        </w:rPr>
        <w:t xml:space="preserve"> Panevėžio socialinių paslaugų centras (toliau – Perkančioji organizacija).</w:t>
      </w:r>
      <w:r>
        <w:rPr>
          <w:rFonts w:eastAsia="Arial Unicode MS"/>
        </w:rPr>
        <w:t xml:space="preserve"> </w:t>
      </w:r>
    </w:p>
    <w:p>
      <w:pPr>
        <w:pStyle w:val="Normal"/>
        <w:tabs>
          <w:tab w:val="clear" w:pos="1296"/>
          <w:tab w:val="left" w:pos="567" w:leader="none"/>
        </w:tabs>
        <w:suppressAutoHyphens w:val="true"/>
        <w:spacing w:lineRule="auto" w:line="312"/>
        <w:ind w:firstLine="851"/>
        <w:jc w:val="both"/>
        <w:rPr>
          <w:rFonts w:eastAsia="Arial Unicode MS"/>
        </w:rPr>
      </w:pPr>
      <w:r>
        <w:rPr>
          <w:rFonts w:eastAsia="Arial Unicode MS"/>
        </w:rPr>
        <w:t>1.2. Pasiūlymų vertinimo kriterijus – ekonomiškai naudingiausias pasiūlymas, kuris nustatomas pagal kainą.</w:t>
      </w:r>
    </w:p>
    <w:p>
      <w:pPr>
        <w:pStyle w:val="Normal"/>
        <w:tabs>
          <w:tab w:val="clear" w:pos="1296"/>
          <w:tab w:val="left" w:pos="540" w:leader="none"/>
          <w:tab w:val="left" w:pos="720" w:leader="none"/>
          <w:tab w:val="left" w:pos="900" w:leader="none"/>
          <w:tab w:val="left" w:pos="993" w:leader="none"/>
          <w:tab w:val="left" w:pos="1418" w:leader="none"/>
          <w:tab w:val="left" w:pos="2559" w:leader="none"/>
        </w:tabs>
        <w:suppressAutoHyphens w:val="true"/>
        <w:spacing w:lineRule="auto" w:line="276" w:before="240" w:after="240"/>
        <w:ind w:firstLine="851"/>
        <w:jc w:val="both"/>
        <w:rPr>
          <w:rFonts w:eastAsia="Arial Unicode MS"/>
          <w:u w:val="none" w:color="000000"/>
        </w:rPr>
      </w:pPr>
      <w:r>
        <w:rPr>
          <w:rFonts w:eastAsia="Arial Unicode MS"/>
          <w:u w:val="none" w:color="000000"/>
        </w:rPr>
      </w:r>
    </w:p>
    <w:p>
      <w:pPr>
        <w:pStyle w:val="Normal"/>
        <w:tabs>
          <w:tab w:val="clear" w:pos="1296"/>
          <w:tab w:val="left" w:pos="540" w:leader="none"/>
          <w:tab w:val="left" w:pos="1418" w:leader="none"/>
          <w:tab w:val="left" w:pos="2559" w:leader="none"/>
        </w:tabs>
        <w:suppressAutoHyphens w:val="true"/>
        <w:spacing w:lineRule="auto" w:line="360" w:before="240" w:after="240"/>
        <w:ind w:left="930"/>
        <w:jc w:val="center"/>
        <w:rPr>
          <w:rFonts w:eastAsia="Arial Unicode MS"/>
          <w:b/>
          <w:bCs/>
          <w:u w:val="none" w:color="000000"/>
        </w:rPr>
      </w:pPr>
      <w:r>
        <w:rPr>
          <w:rFonts w:eastAsia="Arial Unicode MS"/>
          <w:b/>
          <w:bCs/>
          <w:u w:val="none" w:color="000000"/>
        </w:rPr>
        <w:t>2. PERKAMAS OBJEKTAS</w:t>
      </w:r>
    </w:p>
    <w:p>
      <w:pPr>
        <w:pStyle w:val="HTMLPreformatted"/>
        <w:shd w:val="clear" w:color="auto" w:fill="FFFFFF"/>
        <w:spacing w:lineRule="auto" w:line="360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Arial Unicode MS" w:cs="Times New Roman" w:ascii="Times New Roman" w:hAnsi="Times New Roman"/>
          <w:sz w:val="24"/>
          <w:szCs w:val="24"/>
          <w:u w:val="none" w:color="000000"/>
        </w:rPr>
        <w:t xml:space="preserve">2.1. </w:t>
      </w:r>
      <w:r>
        <w:rPr>
          <w:rFonts w:eastAsia="Arial Unicode MS" w:cs="Times New Roman" w:ascii="Times New Roman" w:hAnsi="Times New Roman"/>
          <w:bCs/>
          <w:sz w:val="24"/>
          <w:szCs w:val="24"/>
        </w:rPr>
        <w:t>Perkamas objektas</w:t>
      </w:r>
      <w:r>
        <w:rPr>
          <w:rFonts w:eastAsia="Arial Unicode MS" w:cs="Times New Roman" w:ascii="Times New Roman" w:hAnsi="Times New Roman"/>
          <w:sz w:val="24"/>
          <w:szCs w:val="24"/>
        </w:rPr>
        <w:t xml:space="preserve"> – grupinių supervizijų vykdymo ir organizavimo paslaugos (toliau –  paslaugos).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80590000-6 Mokymo paslaugos.</w:t>
      </w:r>
    </w:p>
    <w:p>
      <w:pPr>
        <w:pStyle w:val="Normal"/>
        <w:tabs>
          <w:tab w:val="clear" w:pos="1296"/>
          <w:tab w:val="left" w:pos="4085" w:leader="none"/>
        </w:tabs>
        <w:spacing w:lineRule="auto" w:line="360"/>
        <w:ind w:firstLine="851"/>
        <w:jc w:val="both"/>
        <w:rPr/>
      </w:pPr>
      <w:r>
        <w:rPr/>
        <w:t>2.2. Pirkimas neskaidomas į dalis.</w:t>
      </w:r>
    </w:p>
    <w:p>
      <w:pPr>
        <w:pStyle w:val="Normal"/>
        <w:spacing w:lineRule="auto" w:line="360"/>
        <w:ind w:firstLine="851"/>
        <w:jc w:val="both"/>
        <w:textAlignment w:val="baseline"/>
        <w:rPr/>
      </w:pPr>
      <w:r>
        <w:rPr>
          <w:rFonts w:eastAsia="Arial Unicode MS"/>
          <w:bCs/>
        </w:rPr>
        <w:t xml:space="preserve">2.3. Supervizija – </w:t>
      </w:r>
      <w:r>
        <w:rPr/>
        <w:t>profesinių santykių konsultavimas – tai asmens, grupės konsultavimas, siekiant stiprinti socialinių darbuotojų profesines kompetencijas ir ugdyti savivoką bei skatinti saviraišką. Svarbiausia supervizijos užduotis – mokytis valdyti sudėtingas profesines situacijas.</w:t>
      </w:r>
    </w:p>
    <w:p>
      <w:pPr>
        <w:pStyle w:val="Normal"/>
        <w:spacing w:lineRule="auto" w:line="360"/>
        <w:ind w:firstLine="851"/>
        <w:jc w:val="both"/>
        <w:textAlignment w:val="baseline"/>
        <w:rPr/>
      </w:pPr>
      <w:r>
        <w:rPr>
          <w:rFonts w:eastAsia="Arial Unicode MS"/>
          <w:bCs/>
        </w:rPr>
        <w:t>2.3.1. Grupinė supervizija</w:t>
      </w:r>
      <w:r>
        <w:rPr>
          <w:rFonts w:eastAsia="Arial Unicode MS"/>
        </w:rPr>
        <w:t xml:space="preserve"> – konsultavimo procesas, kai grupės nariai yra tos pačios srities specialistai (</w:t>
      </w:r>
      <w:r>
        <w:rPr/>
        <w:t>socialiniai darbuotojai ir atvejo vadybininkai).</w:t>
      </w:r>
    </w:p>
    <w:p>
      <w:pPr>
        <w:pStyle w:val="Normal"/>
        <w:suppressAutoHyphens w:val="true"/>
        <w:spacing w:lineRule="auto" w:line="360"/>
        <w:ind w:firstLine="851"/>
        <w:jc w:val="both"/>
        <w:rPr>
          <w:rFonts w:eastAsia="Arial Unicode MS"/>
        </w:rPr>
      </w:pPr>
      <w:r>
        <w:rPr>
          <w:rFonts w:eastAsia="Arial Unicode MS"/>
          <w:bCs/>
        </w:rPr>
        <w:t>2.4. Tikslinė grupė</w:t>
      </w:r>
      <w:r>
        <w:rPr>
          <w:rFonts w:eastAsia="Arial Unicode MS"/>
        </w:rPr>
        <w:t xml:space="preserve"> – socialiniai darbuotojai ir atvejo vadybininkai (toliau – dalyviai).</w:t>
      </w:r>
    </w:p>
    <w:p>
      <w:pPr>
        <w:pStyle w:val="Normal"/>
        <w:tabs>
          <w:tab w:val="clear" w:pos="1296"/>
          <w:tab w:val="left" w:pos="567" w:leader="none"/>
        </w:tabs>
        <w:suppressAutoHyphens w:val="true"/>
        <w:spacing w:lineRule="auto" w:line="312"/>
        <w:ind w:firstLine="851"/>
        <w:jc w:val="both"/>
        <w:rPr>
          <w:rFonts w:eastAsia="Arial Unicode MS"/>
        </w:rPr>
      </w:pPr>
      <w:r>
        <w:rPr>
          <w:rFonts w:eastAsia="Arial Unicode MS"/>
        </w:rPr>
        <w:t>2.5. Numatyta, kad supervizoriai temas parinks pagal dalyvių profesinių klausimų aktualumą supervizijų metu.</w:t>
      </w:r>
    </w:p>
    <w:p>
      <w:pPr>
        <w:pStyle w:val="Normal"/>
        <w:spacing w:lineRule="auto" w:line="312" w:before="0" w:after="0"/>
        <w:ind w:firstLine="851"/>
        <w:contextualSpacing/>
        <w:jc w:val="both"/>
        <w:rPr/>
      </w:pPr>
      <w:r>
        <w:rPr>
          <w:rFonts w:eastAsia="Arial Unicode MS"/>
        </w:rPr>
        <w:t>2.6. Paslaugos teikėjas (toliau – teikėjas)</w:t>
      </w:r>
      <w:r>
        <w:rPr/>
        <w:t xml:space="preserve"> įsipareigoja nuo sutarties pradžios iki 2026 m. birželio 1 d., suorganizuoti 40 grupinių supervizijų. </w:t>
      </w:r>
    </w:p>
    <w:p>
      <w:pPr>
        <w:pStyle w:val="Normal"/>
        <w:spacing w:lineRule="auto" w:line="312" w:before="0" w:after="0"/>
        <w:ind w:firstLine="851"/>
        <w:contextualSpacing/>
        <w:jc w:val="both"/>
        <w:rPr>
          <w:rFonts w:eastAsia="Arial Unicode MS"/>
        </w:rPr>
      </w:pPr>
      <w:bookmarkStart w:id="0" w:name="_Hlk134537675"/>
      <w:r>
        <w:rPr/>
        <w:t xml:space="preserve">2.6.1. Grupines supervizijas organizuoti 5 grupėms </w:t>
      </w:r>
      <w:r>
        <w:rPr>
          <w:rFonts w:eastAsia="Arial Unicode MS"/>
        </w:rPr>
        <w:t>(kiekvienai grupei surengti po supervizija, kurių kiekvienos trukmė 8 ak. val.)</w:t>
      </w:r>
      <w:r>
        <w:rPr/>
        <w:t xml:space="preserve">. Iš viso konsultuoti 31 dalyvį (preliminariai). </w:t>
      </w:r>
      <w:r>
        <w:rPr>
          <w:rFonts w:eastAsia="Arial Unicode MS"/>
        </w:rPr>
        <w:t>Vienoje grupėje numatoma 5-6 dalyviai;</w:t>
      </w:r>
      <w:bookmarkEnd w:id="0"/>
    </w:p>
    <w:p>
      <w:pPr>
        <w:pStyle w:val="Normal"/>
        <w:tabs>
          <w:tab w:val="clear" w:pos="1296"/>
          <w:tab w:val="left" w:pos="709" w:leader="none"/>
        </w:tabs>
        <w:spacing w:lineRule="auto" w:line="312" w:before="0" w:after="0"/>
        <w:ind w:firstLine="851"/>
        <w:contextualSpacing/>
        <w:jc w:val="both"/>
        <w:rPr>
          <w:rFonts w:eastAsia="Arial Unicode MS"/>
        </w:rPr>
      </w:pPr>
      <w:r>
        <w:rPr>
          <w:rFonts w:eastAsia="Arial Unicode MS"/>
        </w:rPr>
        <w:t>2.6.2.</w:t>
      </w:r>
      <w:r>
        <w:rPr/>
        <w:t xml:space="preserve"> Nesant galimybės kontaktiniam supervizijų vykdymui, jos gali būti vykdomos nuotoliniu būdu virtualioje aplinkoje.</w:t>
      </w:r>
    </w:p>
    <w:p>
      <w:pPr>
        <w:pStyle w:val="Normal"/>
        <w:suppressAutoHyphens w:val="true"/>
        <w:spacing w:lineRule="auto" w:line="312"/>
        <w:ind w:firstLine="851"/>
        <w:jc w:val="both"/>
        <w:rPr>
          <w:rFonts w:eastAsia="Arial Unicode MS"/>
        </w:rPr>
      </w:pPr>
      <w:r>
        <w:rPr>
          <w:rFonts w:eastAsia="Arial Unicode MS"/>
        </w:rPr>
        <w:t xml:space="preserve">2.7.Supervizijų susitikimai numatyti Panevėžyje, perkančiosios organizacijos patalpose, A. Mackevičiaus g. 55A, Panevėžys. </w:t>
      </w:r>
    </w:p>
    <w:p>
      <w:pPr>
        <w:pStyle w:val="Normal"/>
        <w:tabs>
          <w:tab w:val="clear" w:pos="1296"/>
          <w:tab w:val="left" w:pos="567" w:leader="none"/>
        </w:tabs>
        <w:suppressAutoHyphens w:val="true"/>
        <w:spacing w:lineRule="auto" w:line="312"/>
        <w:ind w:firstLine="851"/>
        <w:jc w:val="both"/>
        <w:rPr>
          <w:rFonts w:eastAsia="Arial Unicode MS"/>
        </w:rPr>
      </w:pPr>
      <w:r>
        <w:rPr>
          <w:rFonts w:eastAsia="Arial Unicode MS"/>
        </w:rPr>
        <w:t xml:space="preserve">2.8. Paslaugos turi būti suteiktos laikotarpiu nuo </w:t>
      </w:r>
      <w:r>
        <w:rPr>
          <w:rFonts w:eastAsia="Arial Unicode MS"/>
          <w:b/>
          <w:bCs/>
        </w:rPr>
        <w:t>2026-01-30 iki 2026-06-01.</w:t>
      </w:r>
      <w:r>
        <w:rPr>
          <w:rFonts w:eastAsia="Arial Unicode MS"/>
        </w:rPr>
        <w:t xml:space="preserve"> </w:t>
      </w:r>
    </w:p>
    <w:p>
      <w:pPr>
        <w:pStyle w:val="Normal"/>
        <w:spacing w:lineRule="auto" w:line="360"/>
        <w:ind w:firstLine="851"/>
        <w:jc w:val="both"/>
        <w:rPr>
          <w:b/>
          <w:bCs/>
        </w:rPr>
      </w:pPr>
      <w:r>
        <w:rPr>
          <w:rFonts w:eastAsia="Arial Unicode MS"/>
        </w:rPr>
        <w:t xml:space="preserve">2.9. </w:t>
      </w:r>
      <w:r>
        <w:rPr/>
        <w:t xml:space="preserve">Asmenims, baigusiems supervizijas, privalo būti išduoti dalyvavimą supervizijoje patvirtinantys pažymėjimai ne vėliau kaip per 5 darbo dienas nuo grupinių užsiėmimų pabaigos ar individualaus prašymo gavimo dienos </w:t>
      </w:r>
      <w:r>
        <w:rPr>
          <w:b/>
          <w:bCs/>
        </w:rPr>
        <w:t>(jei kuris darbuotojas išlankė mažiau valandų, tai atitinkamas įrašas turi ir būti pažymėjime)</w:t>
      </w:r>
      <w:r>
        <w:rPr/>
        <w:t xml:space="preserve"> </w:t>
      </w:r>
      <w:r>
        <w:rPr>
          <w:b/>
          <w:bCs/>
        </w:rPr>
        <w:t xml:space="preserve">išsiunčiant el. paštu </w:t>
      </w:r>
      <w:hyperlink r:id="rId2">
        <w:r>
          <w:rPr>
            <w:rStyle w:val="Hyperlink"/>
            <w:rFonts w:eastAsia="" w:eastAsiaTheme="majorEastAsia"/>
            <w:b/>
            <w:bCs/>
          </w:rPr>
          <w:t>centras@paneveziospc.lt</w:t>
        </w:r>
      </w:hyperlink>
    </w:p>
    <w:p>
      <w:pPr>
        <w:pStyle w:val="Normal"/>
        <w:tabs>
          <w:tab w:val="clear" w:pos="1296"/>
          <w:tab w:val="left" w:pos="567" w:leader="none"/>
        </w:tabs>
        <w:suppressAutoHyphens w:val="true"/>
        <w:spacing w:lineRule="auto" w:line="312"/>
        <w:ind w:firstLine="851"/>
        <w:jc w:val="both"/>
        <w:rPr>
          <w:rFonts w:eastAsia="Arial Unicode MS"/>
        </w:rPr>
      </w:pPr>
      <w:r>
        <w:rPr>
          <w:rFonts w:eastAsia="Arial Unicode MS"/>
        </w:rPr>
        <w:t>2.10. Paslaugos Teikėjas turi pasiūlyti specialistus, kurių kiekvienas atitinka visus šiuos reikalavimus ir pateikti tai patvirtinančius dokumentus (atestatą, pažymėjimą ir kt.):</w:t>
      </w:r>
    </w:p>
    <w:p>
      <w:pPr>
        <w:pStyle w:val="Normal"/>
        <w:tabs>
          <w:tab w:val="clear" w:pos="1296"/>
          <w:tab w:val="left" w:pos="567" w:leader="none"/>
        </w:tabs>
        <w:suppressAutoHyphens w:val="true"/>
        <w:spacing w:lineRule="auto" w:line="312"/>
        <w:ind w:firstLine="851"/>
        <w:jc w:val="both"/>
        <w:rPr>
          <w:rFonts w:eastAsia="Arial Unicode MS"/>
        </w:rPr>
      </w:pPr>
      <w:r>
        <w:rPr>
          <w:rFonts w:eastAsia="Arial Unicode MS"/>
        </w:rPr>
        <w:t>2.10.1. turi aukštąjį universitetinį arba jam prilygintą socialinių mokslų krypties išsilavinimą ir ne žemesnį kaip magistro arba jam prilygintą laipsnį;</w:t>
      </w:r>
    </w:p>
    <w:p>
      <w:pPr>
        <w:pStyle w:val="Normal"/>
        <w:tabs>
          <w:tab w:val="clear" w:pos="1296"/>
          <w:tab w:val="left" w:pos="567" w:leader="none"/>
        </w:tabs>
        <w:suppressAutoHyphens w:val="true"/>
        <w:spacing w:lineRule="auto" w:line="312"/>
        <w:ind w:firstLine="851"/>
        <w:jc w:val="both"/>
        <w:rPr>
          <w:rFonts w:eastAsia="Arial Unicode MS"/>
        </w:rPr>
      </w:pPr>
      <w:r>
        <w:rPr>
          <w:rFonts w:eastAsia="Arial Unicode MS"/>
        </w:rPr>
        <w:t>2.10.2. yra baigęs specialias supervizorių rengimo studijas ar mokymus, atitinkančius europinius supervizorių rengimo standartus (nustatytus Association of National Organisations for Supervision in Europe), ir turintis tai patvirtinantį dokumentą.</w:t>
      </w:r>
    </w:p>
    <w:p>
      <w:pPr>
        <w:pStyle w:val="Normal"/>
        <w:tabs>
          <w:tab w:val="clear" w:pos="1296"/>
          <w:tab w:val="left" w:pos="567" w:leader="none"/>
        </w:tabs>
        <w:suppressAutoHyphens w:val="true"/>
        <w:spacing w:lineRule="auto" w:line="312"/>
        <w:ind w:firstLine="851"/>
        <w:jc w:val="both"/>
        <w:rPr>
          <w:rFonts w:eastAsia="Arial Unicode MS"/>
        </w:rPr>
      </w:pPr>
      <w:r>
        <w:rPr>
          <w:rFonts w:eastAsia="Arial Unicode MS"/>
        </w:rPr>
        <w:t>2.10.3. turi praktikos vedant supervizijas socialiniams darbuotojams darbui su šeimomis ir atvejo vadybininkams.</w:t>
      </w:r>
    </w:p>
    <w:p>
      <w:pPr>
        <w:pStyle w:val="Normal"/>
        <w:spacing w:lineRule="auto" w:line="360"/>
        <w:ind w:firstLine="851"/>
        <w:jc w:val="both"/>
        <w:rPr/>
      </w:pPr>
      <w:r>
        <w:rPr/>
      </w:r>
    </w:p>
    <w:p>
      <w:pPr>
        <w:pStyle w:val="Normal"/>
        <w:tabs>
          <w:tab w:val="clear" w:pos="1296"/>
          <w:tab w:val="left" w:pos="1134" w:leader="none"/>
        </w:tabs>
        <w:suppressAutoHyphens w:val="true"/>
        <w:spacing w:lineRule="auto" w:line="312" w:before="240" w:after="240"/>
        <w:jc w:val="center"/>
        <w:rPr>
          <w:rFonts w:eastAsia="Arial Unicode MS"/>
          <w:b/>
          <w:bCs/>
          <w:u w:val="none" w:color="000000"/>
        </w:rPr>
      </w:pPr>
      <w:r>
        <w:rPr>
          <w:rFonts w:eastAsia="Arial Unicode MS"/>
          <w:b/>
          <w:bCs/>
          <w:u w:val="none" w:color="000000"/>
        </w:rPr>
        <w:t>3. REIKALAVIMAI PASLAUGŲ ĮGYVENDINIMUI</w:t>
      </w:r>
    </w:p>
    <w:p>
      <w:pPr>
        <w:pStyle w:val="Normal"/>
        <w:tabs>
          <w:tab w:val="clear" w:pos="1296"/>
          <w:tab w:val="left" w:pos="720" w:leader="none"/>
          <w:tab w:val="left" w:pos="900" w:leader="none"/>
          <w:tab w:val="left" w:pos="1134" w:leader="none"/>
        </w:tabs>
        <w:suppressAutoHyphens w:val="true"/>
        <w:spacing w:lineRule="auto" w:line="312"/>
        <w:ind w:firstLine="851"/>
        <w:jc w:val="both"/>
        <w:rPr>
          <w:rFonts w:eastAsia="Arial Unicode MS"/>
          <w:bCs/>
          <w:u w:val="none" w:color="000000"/>
        </w:rPr>
      </w:pPr>
      <w:r>
        <w:rPr>
          <w:rFonts w:eastAsia="Arial Unicode MS"/>
          <w:bCs/>
          <w:u w:val="none" w:color="000000"/>
        </w:rPr>
        <w:t>3.1. Bendri reikalavimai supervizijų paslaugų įgyvendinimui:</w:t>
      </w:r>
    </w:p>
    <w:p>
      <w:pPr>
        <w:pStyle w:val="Normal"/>
        <w:tabs>
          <w:tab w:val="clear" w:pos="1296"/>
          <w:tab w:val="left" w:pos="709" w:leader="none"/>
          <w:tab w:val="left" w:pos="1080" w:leader="none"/>
          <w:tab w:val="left" w:pos="1134" w:leader="none"/>
          <w:tab w:val="left" w:pos="1560" w:leader="none"/>
        </w:tabs>
        <w:spacing w:lineRule="auto" w:line="312"/>
        <w:ind w:firstLine="851"/>
        <w:jc w:val="both"/>
        <w:rPr>
          <w:rFonts w:eastAsia="Arial Unicode MS"/>
          <w:u w:val="none" w:color="000000"/>
        </w:rPr>
      </w:pPr>
      <w:r>
        <w:rPr>
          <w:rFonts w:eastAsia="Arial Unicode MS"/>
          <w:u w:val="none" w:color="000000"/>
        </w:rPr>
        <w:t xml:space="preserve">3.1.1. Paslaugos teikėjas per </w:t>
      </w:r>
      <w:r>
        <w:rPr>
          <w:rFonts w:eastAsia="Arial Unicode MS"/>
          <w:bCs/>
          <w:u w:val="none" w:color="000000"/>
        </w:rPr>
        <w:t xml:space="preserve">5 (penkias) darbo dienas </w:t>
      </w:r>
      <w:r>
        <w:rPr>
          <w:rFonts w:eastAsia="Arial Unicode MS"/>
          <w:u w:val="none" w:color="000000"/>
        </w:rPr>
        <w:t xml:space="preserve">po sutarties pasirašymo privalo su Perkančiąja organizacija suderinti einamųjų metų preliminarų grupinių supervizijų grafiką ir pristatyti asmenį, kuris atliks supervizijas. </w:t>
      </w:r>
    </w:p>
    <w:p>
      <w:pPr>
        <w:pStyle w:val="Normal"/>
        <w:tabs>
          <w:tab w:val="clear" w:pos="1296"/>
          <w:tab w:val="left" w:pos="1080" w:leader="none"/>
          <w:tab w:val="left" w:pos="1560" w:leader="none"/>
        </w:tabs>
        <w:spacing w:lineRule="auto" w:line="312"/>
        <w:ind w:firstLine="851"/>
        <w:jc w:val="both"/>
        <w:rPr/>
      </w:pPr>
      <w:r>
        <w:rPr>
          <w:rFonts w:eastAsia="Arial Unicode MS"/>
          <w:u w:val="none" w:color="000000"/>
        </w:rPr>
        <w:t>3.1.2. Teikėjas ne vėliau kaip per 3 darbo dienas po kiekvienos supervizijos perkančiosios organizacijos kontaktiniam asmeniui turi pateikti dalyvių sąrašą su parašais.</w:t>
      </w:r>
    </w:p>
    <w:p>
      <w:pPr>
        <w:pStyle w:val="Normal"/>
        <w:rPr/>
      </w:pPr>
      <w:r>
        <w:rPr/>
      </w:r>
    </w:p>
    <w:p>
      <w:pPr>
        <w:pStyle w:val="BodyText"/>
        <w:tabs>
          <w:tab w:val="clear" w:pos="1296"/>
          <w:tab w:val="left" w:pos="2790" w:leader="none"/>
          <w:tab w:val="left" w:pos="4215" w:leader="none"/>
        </w:tabs>
        <w:suppressAutoHyphens w:val="true"/>
        <w:rPr>
          <w:b/>
          <w:szCs w:val="24"/>
          <w:lang w:val="lt-LT"/>
        </w:rPr>
      </w:pPr>
      <w:r>
        <w:rPr>
          <w:b/>
          <w:szCs w:val="24"/>
          <w:lang w:val="lt-LT"/>
        </w:rPr>
      </w:r>
    </w:p>
    <w:p>
      <w:pPr>
        <w:pStyle w:val="BodyText"/>
        <w:tabs>
          <w:tab w:val="clear" w:pos="1296"/>
          <w:tab w:val="left" w:pos="2790" w:leader="none"/>
          <w:tab w:val="left" w:pos="4215" w:leader="none"/>
        </w:tabs>
        <w:suppressAutoHyphens w:val="true"/>
        <w:rPr>
          <w:b/>
          <w:szCs w:val="24"/>
          <w:lang w:val="lt-LT"/>
        </w:rPr>
      </w:pPr>
      <w:r>
        <w:rPr>
          <w:b/>
          <w:szCs w:val="24"/>
          <w:lang w:val="lt-LT"/>
        </w:rPr>
      </w:r>
    </w:p>
    <w:p>
      <w:pPr>
        <w:pStyle w:val="Normal"/>
        <w:rPr>
          <w:rFonts w:ascii="Aptos" w:hAnsi="Aptos" w:eastAsia="Aptos"/>
          <w:kern w:val="2"/>
          <w:sz w:val="22"/>
          <w:szCs w:val="22"/>
          <w:lang w:eastAsia="en-US"/>
        </w:rPr>
      </w:pPr>
      <w:r>
        <w:rPr>
          <w:rFonts w:eastAsia="Aptos" w:ascii="Aptos" w:hAnsi="Aptos"/>
          <w:kern w:val="2"/>
          <w:sz w:val="22"/>
          <w:szCs w:val="22"/>
          <w:lang w:eastAsia="en-US"/>
        </w:rPr>
      </w:r>
    </w:p>
    <w:p>
      <w:pPr>
        <w:pStyle w:val="Normal"/>
        <w:rPr>
          <w:rFonts w:ascii="Aptos" w:hAnsi="Aptos" w:eastAsia="Aptos"/>
          <w:kern w:val="2"/>
          <w:sz w:val="22"/>
          <w:szCs w:val="22"/>
          <w:lang w:eastAsia="en-US"/>
        </w:rPr>
      </w:pPr>
      <w:r>
        <w:rPr>
          <w:rFonts w:eastAsia="Aptos" w:ascii="Aptos" w:hAnsi="Aptos"/>
          <w:kern w:val="2"/>
          <w:sz w:val="22"/>
          <w:szCs w:val="22"/>
          <w:lang w:eastAsia="en-US"/>
        </w:rPr>
      </w:r>
    </w:p>
    <w:p>
      <w:pPr>
        <w:pStyle w:val="Normal"/>
        <w:rPr>
          <w:rFonts w:ascii="Aptos" w:hAnsi="Aptos" w:eastAsia="Aptos"/>
          <w:kern w:val="2"/>
          <w:sz w:val="22"/>
          <w:szCs w:val="22"/>
          <w:lang w:eastAsia="en-US"/>
        </w:rPr>
      </w:pPr>
      <w:r>
        <w:rPr>
          <w:rFonts w:eastAsia="Aptos" w:ascii="Aptos" w:hAnsi="Aptos"/>
          <w:kern w:val="2"/>
          <w:sz w:val="22"/>
          <w:szCs w:val="22"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707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Aptos">
    <w:charset w:val="ba"/>
    <w:family w:val="roman"/>
    <w:pitch w:val="variable"/>
  </w:font>
  <w:font w:name="Times New Roman">
    <w:charset w:val="ba"/>
    <w:family w:val="roman"/>
    <w:pitch w:val="variable"/>
  </w:font>
  <w:font w:name="Aptos Display">
    <w:charset w:val="ba"/>
    <w:family w:val="roman"/>
    <w:pitch w:val="variable"/>
  </w:font>
  <w:font w:name="Courier New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1fc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lt-LT" w:bidi="ar-SA"/>
      <w14:ligatures w14:val="none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b71fc2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Antrat2Diagrama"/>
    <w:uiPriority w:val="9"/>
    <w:semiHidden/>
    <w:unhideWhenUsed/>
    <w:qFormat/>
    <w:rsid w:val="00b71fc2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Antrat3Diagrama"/>
    <w:uiPriority w:val="9"/>
    <w:semiHidden/>
    <w:unhideWhenUsed/>
    <w:qFormat/>
    <w:rsid w:val="00b71fc2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Antrat4Diagrama"/>
    <w:uiPriority w:val="9"/>
    <w:semiHidden/>
    <w:unhideWhenUsed/>
    <w:qFormat/>
    <w:rsid w:val="00b71fc2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Antrat5Diagrama"/>
    <w:uiPriority w:val="9"/>
    <w:semiHidden/>
    <w:unhideWhenUsed/>
    <w:qFormat/>
    <w:rsid w:val="00b71fc2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Antrat6Diagrama"/>
    <w:uiPriority w:val="9"/>
    <w:semiHidden/>
    <w:unhideWhenUsed/>
    <w:qFormat/>
    <w:rsid w:val="00b71fc2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Antrat7Diagrama"/>
    <w:uiPriority w:val="9"/>
    <w:semiHidden/>
    <w:unhideWhenUsed/>
    <w:qFormat/>
    <w:rsid w:val="00b71fc2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Antrat8Diagrama"/>
    <w:uiPriority w:val="9"/>
    <w:semiHidden/>
    <w:unhideWhenUsed/>
    <w:qFormat/>
    <w:rsid w:val="00b71fc2"/>
    <w:pPr>
      <w:keepNext w:val="true"/>
      <w:keepLines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Antrat9Diagrama"/>
    <w:uiPriority w:val="9"/>
    <w:semiHidden/>
    <w:unhideWhenUsed/>
    <w:qFormat/>
    <w:rsid w:val="00b71fc2"/>
    <w:pPr>
      <w:keepNext w:val="true"/>
      <w:keepLines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1Diagrama" w:customStyle="1">
    <w:name w:val="Antraštė 1 Diagrama"/>
    <w:basedOn w:val="DefaultParagraphFont"/>
    <w:uiPriority w:val="9"/>
    <w:qFormat/>
    <w:rsid w:val="00b71fc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Antrat2Diagrama" w:customStyle="1">
    <w:name w:val="Antraštė 2 Diagrama"/>
    <w:basedOn w:val="DefaultParagraphFont"/>
    <w:uiPriority w:val="9"/>
    <w:semiHidden/>
    <w:qFormat/>
    <w:rsid w:val="00b71fc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Antrat3Diagrama" w:customStyle="1">
    <w:name w:val="Antraštė 3 Diagrama"/>
    <w:basedOn w:val="DefaultParagraphFont"/>
    <w:uiPriority w:val="9"/>
    <w:semiHidden/>
    <w:qFormat/>
    <w:rsid w:val="00b71fc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Antrat4Diagrama" w:customStyle="1">
    <w:name w:val="Antraštė 4 Diagrama"/>
    <w:basedOn w:val="DefaultParagraphFont"/>
    <w:uiPriority w:val="9"/>
    <w:semiHidden/>
    <w:qFormat/>
    <w:rsid w:val="00b71fc2"/>
    <w:rPr>
      <w:rFonts w:eastAsia="" w:cs="" w:cstheme="majorBidi" w:eastAsiaTheme="majorEastAsia"/>
      <w:i/>
      <w:iCs/>
      <w:color w:themeColor="accent1" w:themeShade="bf" w:val="0F4761"/>
    </w:rPr>
  </w:style>
  <w:style w:type="character" w:styleId="Antrat5Diagrama" w:customStyle="1">
    <w:name w:val="Antraštė 5 Diagrama"/>
    <w:basedOn w:val="DefaultParagraphFont"/>
    <w:uiPriority w:val="9"/>
    <w:semiHidden/>
    <w:qFormat/>
    <w:rsid w:val="00b71fc2"/>
    <w:rPr>
      <w:rFonts w:eastAsia="" w:cs="" w:cstheme="majorBidi" w:eastAsiaTheme="majorEastAsia"/>
      <w:color w:themeColor="accent1" w:themeShade="bf" w:val="0F4761"/>
    </w:rPr>
  </w:style>
  <w:style w:type="character" w:styleId="Antrat6Diagrama" w:customStyle="1">
    <w:name w:val="Antraštė 6 Diagrama"/>
    <w:basedOn w:val="DefaultParagraphFont"/>
    <w:uiPriority w:val="9"/>
    <w:semiHidden/>
    <w:qFormat/>
    <w:rsid w:val="00b71fc2"/>
    <w:rPr>
      <w:rFonts w:eastAsia="" w:cs="" w:cstheme="majorBidi" w:eastAsiaTheme="majorEastAsia"/>
      <w:i/>
      <w:iCs/>
      <w:color w:themeColor="text1" w:themeTint="a6" w:val="595959"/>
    </w:rPr>
  </w:style>
  <w:style w:type="character" w:styleId="Antrat7Diagrama" w:customStyle="1">
    <w:name w:val="Antraštė 7 Diagrama"/>
    <w:basedOn w:val="DefaultParagraphFont"/>
    <w:uiPriority w:val="9"/>
    <w:semiHidden/>
    <w:qFormat/>
    <w:rsid w:val="00b71fc2"/>
    <w:rPr>
      <w:rFonts w:eastAsia="" w:cs="" w:cstheme="majorBidi" w:eastAsiaTheme="majorEastAsia"/>
      <w:color w:themeColor="text1" w:themeTint="a6" w:val="595959"/>
    </w:rPr>
  </w:style>
  <w:style w:type="character" w:styleId="Antrat8Diagrama" w:customStyle="1">
    <w:name w:val="Antraštė 8 Diagrama"/>
    <w:basedOn w:val="DefaultParagraphFont"/>
    <w:uiPriority w:val="9"/>
    <w:semiHidden/>
    <w:qFormat/>
    <w:rsid w:val="00b71fc2"/>
    <w:rPr>
      <w:rFonts w:eastAsia="" w:cs="" w:cstheme="majorBidi" w:eastAsiaTheme="majorEastAsia"/>
      <w:i/>
      <w:iCs/>
      <w:color w:themeColor="text1" w:themeTint="d8" w:val="272727"/>
    </w:rPr>
  </w:style>
  <w:style w:type="character" w:styleId="Antrat9Diagrama" w:customStyle="1">
    <w:name w:val="Antraštė 9 Diagrama"/>
    <w:basedOn w:val="DefaultParagraphFont"/>
    <w:uiPriority w:val="9"/>
    <w:semiHidden/>
    <w:qFormat/>
    <w:rsid w:val="00b71fc2"/>
    <w:rPr>
      <w:rFonts w:eastAsia="" w:cs="" w:cstheme="majorBidi" w:eastAsiaTheme="majorEastAsia"/>
      <w:color w:themeColor="text1" w:themeTint="d8" w:val="272727"/>
    </w:rPr>
  </w:style>
  <w:style w:type="character" w:styleId="PavadinimasDiagrama" w:customStyle="1">
    <w:name w:val="Pavadinimas Diagrama"/>
    <w:basedOn w:val="DefaultParagraphFont"/>
    <w:uiPriority w:val="10"/>
    <w:qFormat/>
    <w:rsid w:val="00b71fc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aantratDiagrama" w:customStyle="1">
    <w:name w:val="Paantraštė Diagrama"/>
    <w:basedOn w:val="DefaultParagraphFont"/>
    <w:uiPriority w:val="11"/>
    <w:qFormat/>
    <w:rsid w:val="00b71fc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aDiagrama" w:customStyle="1">
    <w:name w:val="Citata Diagrama"/>
    <w:basedOn w:val="DefaultParagraphFont"/>
    <w:link w:val="Quote"/>
    <w:uiPriority w:val="29"/>
    <w:qFormat/>
    <w:rsid w:val="00b71fc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71fc2"/>
    <w:rPr>
      <w:i/>
      <w:iCs/>
      <w:color w:themeColor="accent1" w:themeShade="bf" w:val="0F4761"/>
    </w:rPr>
  </w:style>
  <w:style w:type="character" w:styleId="IskirtacitataDiagrama" w:customStyle="1">
    <w:name w:val="Išskirta citata Diagrama"/>
    <w:basedOn w:val="DefaultParagraphFont"/>
    <w:link w:val="IntenseQuote"/>
    <w:uiPriority w:val="30"/>
    <w:qFormat/>
    <w:rsid w:val="00b71fc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71fc2"/>
    <w:rPr>
      <w:b/>
      <w:bCs/>
      <w:smallCaps/>
      <w:color w:themeColor="accent1" w:themeShade="bf" w:val="0F4761"/>
      <w:spacing w:val="5"/>
    </w:rPr>
  </w:style>
  <w:style w:type="character" w:styleId="PagrindinistekstasDiagrama" w:customStyle="1">
    <w:name w:val="Pagrindinis tekstas Diagrama"/>
    <w:basedOn w:val="DefaultParagraphFont"/>
    <w:qFormat/>
    <w:rsid w:val="00b71fc2"/>
    <w:rPr>
      <w:rFonts w:ascii="Times New Roman" w:hAnsi="Times New Roman" w:eastAsia="Times New Roman" w:cs="Times New Roman"/>
      <w:kern w:val="0"/>
      <w:sz w:val="20"/>
      <w:szCs w:val="20"/>
      <w:lang w:val="en-US" w:eastAsia="lt-LT"/>
      <w14:ligatures w14:val="none"/>
    </w:rPr>
  </w:style>
  <w:style w:type="character" w:styleId="Hyperlink">
    <w:name w:val="Hyperlink"/>
    <w:rsid w:val="00b71fc2"/>
    <w:rPr>
      <w:color w:val="0000FF"/>
      <w:u w:val="single"/>
    </w:rPr>
  </w:style>
  <w:style w:type="character" w:styleId="HTMLiankstoformatuotasDiagrama" w:customStyle="1">
    <w:name w:val="HTML iš anksto formatuotas Diagrama"/>
    <w:basedOn w:val="DefaultParagraphFont"/>
    <w:link w:val="HTMLPreformatted"/>
    <w:uiPriority w:val="99"/>
    <w:qFormat/>
    <w:rsid w:val="00b71fc2"/>
    <w:rPr>
      <w:rFonts w:ascii="Courier New" w:hAnsi="Courier New" w:eastAsia="Times New Roman" w:cs="Courier New"/>
      <w:kern w:val="0"/>
      <w:sz w:val="20"/>
      <w:szCs w:val="20"/>
      <w:lang w:eastAsia="lt-LT"/>
      <w14:ligatures w14:val="none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PagrindinistekstasDiagrama"/>
    <w:qFormat/>
    <w:rsid w:val="00b71fc2"/>
    <w:pPr>
      <w:overflowPunct w:val="true"/>
      <w:spacing w:before="0" w:after="120"/>
    </w:pPr>
    <w:rPr>
      <w:sz w:val="20"/>
      <w:szCs w:val="20"/>
      <w:lang w:val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Antratuser">
    <w:name w:val="Antrašt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odykluser">
    <w:name w:val="Rodyklė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PavadinimasDiagrama"/>
    <w:uiPriority w:val="10"/>
    <w:qFormat/>
    <w:rsid w:val="00b71fc2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PaantratDiagrama"/>
    <w:uiPriority w:val="11"/>
    <w:qFormat/>
    <w:rsid w:val="00b71fc2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ataDiagrama"/>
    <w:uiPriority w:val="29"/>
    <w:qFormat/>
    <w:rsid w:val="00b71fc2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b71fc2"/>
    <w:pPr>
      <w:spacing w:lineRule="auto" w:line="259"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skirtacitataDiagrama"/>
    <w:uiPriority w:val="30"/>
    <w:qFormat/>
    <w:rsid w:val="00b7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2"/>
      <w:szCs w:val="22"/>
      <w:lang w:eastAsia="en-US"/>
      <w14:ligatures w14:val="standardContextual"/>
    </w:rPr>
  </w:style>
  <w:style w:type="paragraph" w:styleId="HTMLPreformatted">
    <w:name w:val="HTML Preformatted"/>
    <w:basedOn w:val="Normal"/>
    <w:link w:val="HTMLiankstoformatuotasDiagrama"/>
    <w:uiPriority w:val="99"/>
    <w:unhideWhenUsed/>
    <w:qFormat/>
    <w:rsid w:val="00b71fc2"/>
    <w:pPr>
      <w:tabs>
        <w:tab w:val="clear" w:pos="129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entras@paneveziospc.l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2</Pages>
  <Words>391</Words>
  <Characters>2945</Characters>
  <CharactersWithSpaces>3329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2025-08-12T05:48:00Z</dcterms:created>
  <dc:creator>Justė Bedre</dc:creator>
  <dc:description/>
  <dc:language>lt-LT</dc:language>
  <cp:lastModifiedBy/>
  <dcterms:modified xsi:type="dcterms:W3CDTF">2025-08-29T14:22:58Z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