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3E5A25F6"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3240"/>
        <w:gridCol w:w="35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gridSpan w:val="3"/>
            <w:vAlign w:val="center"/>
          </w:tcPr>
          <w:p w14:paraId="55A10246" w14:textId="1C621545" w:rsidR="009073E2" w:rsidRPr="002776FC" w:rsidRDefault="000B33BF" w:rsidP="00A64FBA">
            <w:pPr>
              <w:jc w:val="center"/>
              <w:rPr>
                <w:b/>
                <w:kern w:val="2"/>
                <w:szCs w:val="24"/>
              </w:rPr>
            </w:pPr>
            <w:r>
              <w:rPr>
                <w:b/>
                <w:kern w:val="2"/>
                <w:szCs w:val="24"/>
              </w:rPr>
              <w:t>GINEKOLOGINĖ KĖDĖ</w:t>
            </w:r>
            <w:r w:rsidR="00DB39F3">
              <w:rPr>
                <w:b/>
                <w:kern w:val="2"/>
                <w:szCs w:val="24"/>
              </w:rPr>
              <w:t xml:space="preserve">  </w:t>
            </w:r>
            <w:r w:rsidR="00DB39F3" w:rsidRPr="00510F06">
              <w:rPr>
                <w:b/>
                <w:kern w:val="2"/>
                <w:szCs w:val="24"/>
              </w:rPr>
              <w:t xml:space="preserve">(Nr. </w:t>
            </w:r>
            <w:r w:rsidR="00863352">
              <w:rPr>
                <w:b/>
                <w:kern w:val="2"/>
                <w:szCs w:val="24"/>
              </w:rPr>
              <w:t>10</w:t>
            </w:r>
            <w:r>
              <w:rPr>
                <w:b/>
                <w:kern w:val="2"/>
                <w:szCs w:val="24"/>
              </w:rPr>
              <w:t>145-</w:t>
            </w:r>
            <w:r w:rsidR="00A64FBA">
              <w:rPr>
                <w:b/>
                <w:kern w:val="2"/>
                <w:szCs w:val="24"/>
              </w:rPr>
              <w:t>2</w:t>
            </w:r>
            <w:r w:rsidR="00DB39F3">
              <w:rPr>
                <w:b/>
                <w:kern w:val="2"/>
                <w:szCs w:val="24"/>
              </w:rPr>
              <w:t>)</w:t>
            </w:r>
          </w:p>
        </w:tc>
      </w:tr>
      <w:tr w:rsidR="009073E2" w14:paraId="58221195" w14:textId="77777777" w:rsidTr="00A14157">
        <w:tc>
          <w:tcPr>
            <w:tcW w:w="9558" w:type="dxa"/>
            <w:gridSpan w:val="4"/>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gridSpan w:val="2"/>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gridSpan w:val="2"/>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gridSpan w:val="2"/>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1685E4C7" w:rsidR="009073E2" w:rsidRDefault="009073E2" w:rsidP="003F3D97">
            <w:pPr>
              <w:jc w:val="center"/>
              <w:rPr>
                <w:kern w:val="2"/>
                <w:szCs w:val="24"/>
              </w:rPr>
            </w:pPr>
            <w:r w:rsidRPr="00EF4CFE">
              <w:rPr>
                <w:kern w:val="2"/>
                <w:szCs w:val="24"/>
              </w:rPr>
              <w:t>Šiltnamių g. 29, 041</w:t>
            </w:r>
            <w:r w:rsidR="003F3D97">
              <w:rPr>
                <w:kern w:val="2"/>
                <w:szCs w:val="24"/>
              </w:rPr>
              <w:t>29</w:t>
            </w:r>
            <w:r w:rsidRPr="00EF4CFE">
              <w:rPr>
                <w:kern w:val="2"/>
                <w:szCs w:val="24"/>
              </w:rPr>
              <w:t xml:space="preserve"> Vilnius</w:t>
            </w:r>
          </w:p>
        </w:tc>
      </w:tr>
      <w:tr w:rsidR="009073E2" w14:paraId="4B86A677" w14:textId="77777777" w:rsidTr="00A14157">
        <w:tc>
          <w:tcPr>
            <w:tcW w:w="2808" w:type="dxa"/>
            <w:gridSpan w:val="2"/>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gridSpan w:val="2"/>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gridSpan w:val="2"/>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gridSpan w:val="2"/>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gridSpan w:val="2"/>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77267D"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gridSpan w:val="2"/>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gridSpan w:val="2"/>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gridSpan w:val="2"/>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gridSpan w:val="2"/>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gridSpan w:val="2"/>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gridSpan w:val="2"/>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gridSpan w:val="2"/>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gridSpan w:val="2"/>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gridSpan w:val="2"/>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gridSpan w:val="2"/>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gridSpan w:val="2"/>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gridSpan w:val="2"/>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Default="009A411B" w:rsidP="00A14157">
            <w:pPr>
              <w:rPr>
                <w:b/>
                <w:bCs/>
                <w:kern w:val="2"/>
                <w:szCs w:val="24"/>
              </w:rPr>
            </w:pPr>
            <w:r>
              <w:rPr>
                <w:b/>
                <w:bCs/>
                <w:kern w:val="2"/>
                <w:szCs w:val="24"/>
              </w:rPr>
              <w:t xml:space="preserve">3.1. Sutarties dalykas </w:t>
            </w:r>
          </w:p>
        </w:tc>
        <w:tc>
          <w:tcPr>
            <w:tcW w:w="6831" w:type="dxa"/>
            <w:gridSpan w:val="2"/>
          </w:tcPr>
          <w:p w14:paraId="22900510" w14:textId="276C645A" w:rsidR="000B33BF" w:rsidRDefault="009A411B" w:rsidP="007B6F89">
            <w:pPr>
              <w:jc w:val="both"/>
              <w:rPr>
                <w:kern w:val="2"/>
                <w:szCs w:val="24"/>
              </w:rPr>
            </w:pPr>
            <w:r>
              <w:rPr>
                <w:kern w:val="2"/>
                <w:szCs w:val="24"/>
              </w:rPr>
              <w:t xml:space="preserve">3.1.1. Tiekėjas įsipareigoja Sutartyje numatytomis sąlygomis </w:t>
            </w:r>
            <w:r w:rsidR="000B33BF">
              <w:rPr>
                <w:kern w:val="2"/>
                <w:szCs w:val="24"/>
              </w:rPr>
              <w:t>perduoti Pirkėjui ginekologinę kėdę (toliau – Prekė), ją surinkti, suderinti,</w:t>
            </w:r>
            <w:r w:rsidR="00DE5002">
              <w:rPr>
                <w:kern w:val="2"/>
                <w:szCs w:val="24"/>
              </w:rPr>
              <w:t xml:space="preserve"> paruošti darbui</w:t>
            </w:r>
            <w:r w:rsidR="000B33BF">
              <w:rPr>
                <w:kern w:val="2"/>
                <w:szCs w:val="24"/>
              </w:rPr>
              <w:t>, pateikti Sutartyje nurodytus dokmentus.</w:t>
            </w:r>
          </w:p>
          <w:p w14:paraId="036D10DB" w14:textId="720BFF73" w:rsidR="009A411B" w:rsidRPr="0002644C" w:rsidRDefault="000B33BF" w:rsidP="003E0086">
            <w:pPr>
              <w:jc w:val="both"/>
              <w:rPr>
                <w:color w:val="000000"/>
                <w:kern w:val="2"/>
                <w:szCs w:val="24"/>
              </w:rPr>
            </w:pPr>
            <w:r>
              <w:rPr>
                <w:kern w:val="2"/>
                <w:szCs w:val="24"/>
              </w:rPr>
              <w:t xml:space="preserve">3.1.2. Išsamus Prekės </w:t>
            </w:r>
            <w:r w:rsidR="009A411B" w:rsidRPr="00CB432F">
              <w:rPr>
                <w:kern w:val="2"/>
                <w:szCs w:val="24"/>
              </w:rPr>
              <w:t>aprašymas ir kiti reikalavimai tiekiam</w:t>
            </w:r>
            <w:r>
              <w:rPr>
                <w:kern w:val="2"/>
                <w:szCs w:val="24"/>
              </w:rPr>
              <w:t>ai</w:t>
            </w:r>
            <w:r w:rsidR="009A411B" w:rsidRPr="00CB432F">
              <w:rPr>
                <w:kern w:val="2"/>
                <w:szCs w:val="24"/>
              </w:rPr>
              <w:t xml:space="preserve"> Prek</w:t>
            </w:r>
            <w:r>
              <w:rPr>
                <w:kern w:val="2"/>
                <w:szCs w:val="24"/>
              </w:rPr>
              <w:t>ei</w:t>
            </w:r>
            <w:r w:rsidR="009A411B" w:rsidRPr="00CB432F">
              <w:rPr>
                <w:kern w:val="2"/>
                <w:szCs w:val="24"/>
              </w:rPr>
              <w:t xml:space="preserve"> nustatyti Techninėje specifikacijoje Sutarties </w:t>
            </w:r>
            <w:r w:rsidR="009A411B">
              <w:rPr>
                <w:kern w:val="2"/>
                <w:szCs w:val="24"/>
              </w:rPr>
              <w:t>P</w:t>
            </w:r>
            <w:r w:rsidR="009A411B" w:rsidRPr="00CB432F">
              <w:rPr>
                <w:kern w:val="2"/>
                <w:szCs w:val="24"/>
              </w:rPr>
              <w:t>riede Nr. 1 „Techninė specifikacija ir pasiūlymo kaina“.</w:t>
            </w:r>
          </w:p>
        </w:tc>
      </w:tr>
      <w:tr w:rsidR="009A411B" w14:paraId="4F0B4777" w14:textId="77777777" w:rsidTr="00A14157">
        <w:trPr>
          <w:trHeight w:val="300"/>
        </w:trPr>
        <w:tc>
          <w:tcPr>
            <w:tcW w:w="2704" w:type="dxa"/>
            <w:gridSpan w:val="2"/>
          </w:tcPr>
          <w:p w14:paraId="5FB623BC" w14:textId="56334740" w:rsidR="009A411B" w:rsidRDefault="009A411B"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0012AE41" w:rsidR="009A411B" w:rsidRPr="0002644C" w:rsidRDefault="000B33BF" w:rsidP="0060617D">
            <w:pPr>
              <w:rPr>
                <w:kern w:val="2"/>
                <w:szCs w:val="24"/>
              </w:rPr>
            </w:pPr>
            <w:r>
              <w:rPr>
                <w:b/>
                <w:kern w:val="2"/>
                <w:szCs w:val="24"/>
              </w:rPr>
              <w:t xml:space="preserve">Ginekologinė kėdė </w:t>
            </w:r>
            <w:r w:rsidR="000C60F1" w:rsidRPr="00510F06">
              <w:rPr>
                <w:b/>
                <w:kern w:val="2"/>
                <w:szCs w:val="24"/>
              </w:rPr>
              <w:t xml:space="preserve">(Nr. </w:t>
            </w:r>
            <w:r w:rsidR="00EB3094">
              <w:rPr>
                <w:b/>
                <w:kern w:val="2"/>
                <w:szCs w:val="24"/>
              </w:rPr>
              <w:t>10</w:t>
            </w:r>
            <w:r>
              <w:rPr>
                <w:b/>
                <w:kern w:val="2"/>
                <w:szCs w:val="24"/>
              </w:rPr>
              <w:t>145-</w:t>
            </w:r>
            <w:r w:rsidR="0060617D">
              <w:rPr>
                <w:b/>
                <w:kern w:val="2"/>
                <w:szCs w:val="24"/>
              </w:rPr>
              <w:t>2</w:t>
            </w:r>
            <w:r w:rsidR="000C60F1">
              <w:rPr>
                <w:b/>
                <w:kern w:val="2"/>
                <w:szCs w:val="24"/>
              </w:rPr>
              <w:t>)</w:t>
            </w:r>
          </w:p>
        </w:tc>
      </w:tr>
      <w:tr w:rsidR="009A411B" w14:paraId="60126408" w14:textId="77777777" w:rsidTr="00A14157">
        <w:trPr>
          <w:trHeight w:val="300"/>
        </w:trPr>
        <w:tc>
          <w:tcPr>
            <w:tcW w:w="2704" w:type="dxa"/>
            <w:gridSpan w:val="2"/>
          </w:tcPr>
          <w:p w14:paraId="7EC18E26" w14:textId="77777777" w:rsidR="009A411B" w:rsidRDefault="009A411B"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550231D6" w14:textId="77777777" w:rsidR="00AE7671" w:rsidRPr="0002644C" w:rsidRDefault="00AE7671" w:rsidP="00AE7671">
            <w:pPr>
              <w:jc w:val="both"/>
            </w:pPr>
            <w:r w:rsidRPr="0002644C">
              <w:rPr>
                <w:rFonts w:eastAsia="Arial Unicode MS"/>
              </w:rPr>
              <w:t xml:space="preserve">Pirkimas vykdomas pagal projektą </w:t>
            </w:r>
            <w:r w:rsidRPr="0002644C">
              <w:rPr>
                <w:rFonts w:eastAsia="Arial Unicode MS"/>
                <w:b/>
              </w:rPr>
              <w:t>„Skubios pagalbos skyriaus ir reanimacijos ir intensyvios terapijos skyriaus infrastruktūros modernizavimas“ (projekto kodas 09-008-P-0007).</w:t>
            </w:r>
            <w:r w:rsidRPr="0002644C">
              <w:rPr>
                <w:rFonts w:eastAsia="Arial Unicode MS"/>
              </w:rPr>
              <w:t xml:space="preserve"> </w:t>
            </w:r>
          </w:p>
          <w:p w14:paraId="120189DB" w14:textId="3D9695EB" w:rsidR="009A411B" w:rsidRPr="0002644C" w:rsidRDefault="009A411B" w:rsidP="009A411B">
            <w:pPr>
              <w:jc w:val="both"/>
              <w:rPr>
                <w:kern w:val="2"/>
                <w:szCs w:val="24"/>
              </w:rPr>
            </w:pPr>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7A63CBDE" w14:textId="6A7698AF" w:rsidR="009A411B" w:rsidRPr="0002644C" w:rsidRDefault="009A411B" w:rsidP="002065DD">
            <w:pPr>
              <w:jc w:val="both"/>
              <w:rPr>
                <w:szCs w:val="24"/>
              </w:rPr>
            </w:pPr>
            <w:r w:rsidRPr="008153C3">
              <w:rPr>
                <w:kern w:val="2"/>
                <w:szCs w:val="24"/>
              </w:rPr>
              <w:t xml:space="preserve">4.1.1. </w:t>
            </w:r>
            <w:r w:rsidR="00AE7671">
              <w:rPr>
                <w:kern w:val="2"/>
                <w:szCs w:val="24"/>
              </w:rPr>
              <w:t>Tiekėjas įsipareigoja</w:t>
            </w:r>
            <w:r w:rsidR="00DA53C7">
              <w:rPr>
                <w:kern w:val="2"/>
                <w:szCs w:val="24"/>
              </w:rPr>
              <w:t xml:space="preserve"> Prekę</w:t>
            </w:r>
            <w:r w:rsidR="00AE7671">
              <w:rPr>
                <w:kern w:val="2"/>
                <w:szCs w:val="24"/>
              </w:rPr>
              <w:t xml:space="preserve"> pristatyti, surinkti, suderinti, paruošti darbui, pateikti Sutartyje nurodytus dokumentus </w:t>
            </w:r>
            <w:r w:rsidR="00AE7671">
              <w:rPr>
                <w:b/>
                <w:bCs/>
                <w:kern w:val="2"/>
                <w:szCs w:val="24"/>
              </w:rPr>
              <w:t>ne vėliau kaip per</w:t>
            </w:r>
            <w:r w:rsidR="00AE7671">
              <w:rPr>
                <w:kern w:val="2"/>
                <w:szCs w:val="24"/>
              </w:rPr>
              <w:t xml:space="preserve"> </w:t>
            </w:r>
            <w:r w:rsidR="00AE7671" w:rsidRPr="00B24A9C">
              <w:rPr>
                <w:b/>
                <w:bCs/>
                <w:kern w:val="2"/>
                <w:szCs w:val="24"/>
              </w:rPr>
              <w:t>4 mėnesius</w:t>
            </w:r>
            <w:r w:rsidR="00AE7671" w:rsidRPr="00B24A9C">
              <w:rPr>
                <w:kern w:val="2"/>
                <w:szCs w:val="24"/>
              </w:rPr>
              <w:t xml:space="preserve"> </w:t>
            </w:r>
            <w:r w:rsidR="00AE7671">
              <w:rPr>
                <w:color w:val="000000"/>
                <w:kern w:val="2"/>
                <w:szCs w:val="24"/>
              </w:rPr>
              <w:t xml:space="preserve">nuo Sutarties įsigaliojimo dienos šiuo adresu: </w:t>
            </w:r>
            <w:r w:rsidR="00AE7671" w:rsidRPr="00B24A9C">
              <w:rPr>
                <w:kern w:val="2"/>
                <w:szCs w:val="24"/>
              </w:rPr>
              <w:t>Šiltnamių g. 29, Vilnius</w:t>
            </w:r>
            <w:r w:rsidR="00AE7671">
              <w:rPr>
                <w:kern w:val="2"/>
                <w:szCs w:val="24"/>
              </w:rPr>
              <w:t>.</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0100AC4B" w14:textId="4A33E6FD" w:rsidR="009A411B" w:rsidRPr="0002644C" w:rsidRDefault="00B7510A" w:rsidP="002E3AE0">
            <w:pPr>
              <w:jc w:val="both"/>
              <w:rPr>
                <w:kern w:val="2"/>
                <w:szCs w:val="24"/>
              </w:rPr>
            </w:pPr>
            <w:r>
              <w:rPr>
                <w:kern w:val="2"/>
                <w:szCs w:val="24"/>
              </w:rPr>
              <w:t>Netaikoma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498E866A" w14:textId="05FEEA53" w:rsidR="009A411B" w:rsidRPr="0002644C" w:rsidRDefault="009A411B" w:rsidP="00F757AB">
            <w:pPr>
              <w:jc w:val="both"/>
              <w:rPr>
                <w:kern w:val="2"/>
                <w:szCs w:val="24"/>
              </w:rPr>
            </w:pPr>
            <w:r>
              <w:rPr>
                <w:kern w:val="2"/>
                <w:szCs w:val="24"/>
              </w:rPr>
              <w:t xml:space="preserve">4.5.1. </w:t>
            </w:r>
            <w:r w:rsidRPr="00EB62B0">
              <w:rPr>
                <w:kern w:val="2"/>
                <w:szCs w:val="24"/>
              </w:rPr>
              <w:t xml:space="preserve">Kartu su </w:t>
            </w:r>
            <w:r>
              <w:rPr>
                <w:kern w:val="2"/>
                <w:szCs w:val="24"/>
              </w:rPr>
              <w:t>Prek</w:t>
            </w:r>
            <w:r w:rsidR="00DA53C7">
              <w:rPr>
                <w:kern w:val="2"/>
                <w:szCs w:val="24"/>
              </w:rPr>
              <w:t>e</w:t>
            </w:r>
            <w:r w:rsidRPr="00EB62B0">
              <w:rPr>
                <w:kern w:val="2"/>
                <w:szCs w:val="24"/>
              </w:rPr>
              <w:t xml:space="preserve"> pateikiami šie dokumentai:</w:t>
            </w:r>
            <w:r w:rsidR="001A46B6">
              <w:rPr>
                <w:kern w:val="2"/>
                <w:szCs w:val="24"/>
              </w:rPr>
              <w:t xml:space="preserve"> </w:t>
            </w:r>
            <w:r>
              <w:t>Prek</w:t>
            </w:r>
            <w:r w:rsidR="00DA53C7">
              <w:t>ės</w:t>
            </w:r>
            <w:r w:rsidRPr="00EB62B0">
              <w:t xml:space="preserve"> </w:t>
            </w:r>
            <w:r w:rsidRPr="00EB62B0">
              <w:rPr>
                <w:rFonts w:eastAsia="Arial Unicode MS"/>
                <w:szCs w:val="24"/>
                <w:bdr w:val="nil"/>
              </w:rPr>
              <w:t>perdavimo-priėmimo aktas</w:t>
            </w:r>
            <w:r w:rsidR="00DA53C7">
              <w:rPr>
                <w:rFonts w:eastAsia="Arial Unicode MS"/>
                <w:szCs w:val="24"/>
                <w:bdr w:val="nil"/>
              </w:rPr>
              <w:t xml:space="preserve">, naudojimo ir valymo, dezinfekcijos/ sterilizavimo instrukcijos originalo ir lietuvių kalba </w:t>
            </w:r>
            <w:r w:rsidRPr="00EB62B0">
              <w:rPr>
                <w:kern w:val="2"/>
                <w:szCs w:val="24"/>
              </w:rPr>
              <w:t>. Tiekėjui nepateikus nurodytų dokumentų, laikoma, kad Prekė neatitinka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46B5624" w14:textId="7A390393" w:rsidR="009A411B" w:rsidRDefault="009A411B" w:rsidP="002065DD">
            <w:pPr>
              <w:rPr>
                <w:color w:val="4472C4"/>
                <w:kern w:val="2"/>
              </w:rPr>
            </w:pPr>
            <w:r>
              <w:rPr>
                <w:kern w:val="2"/>
                <w:szCs w:val="24"/>
              </w:rPr>
              <w:t>Fiksuoto</w:t>
            </w:r>
            <w:r w:rsidR="002065DD">
              <w:rPr>
                <w:kern w:val="2"/>
                <w:szCs w:val="24"/>
              </w:rPr>
              <w:t>s</w:t>
            </w:r>
            <w:r>
              <w:rPr>
                <w:kern w:val="2"/>
                <w:szCs w:val="24"/>
              </w:rPr>
              <w:t xml:space="preserve"> </w:t>
            </w:r>
            <w:r w:rsidR="002065DD">
              <w:rPr>
                <w:kern w:val="2"/>
                <w:szCs w:val="24"/>
              </w:rPr>
              <w:t>kainos</w:t>
            </w:r>
            <w:r>
              <w:rPr>
                <w:kern w:val="2"/>
                <w:szCs w:val="24"/>
              </w:rPr>
              <w:t xml:space="preserve"> kainodara </w:t>
            </w:r>
          </w:p>
        </w:tc>
      </w:tr>
      <w:tr w:rsidR="009A411B" w14:paraId="6DE8D905" w14:textId="77777777" w:rsidTr="00A14157">
        <w:trPr>
          <w:trHeight w:val="300"/>
        </w:trPr>
        <w:tc>
          <w:tcPr>
            <w:tcW w:w="2704" w:type="dxa"/>
            <w:gridSpan w:val="2"/>
          </w:tcPr>
          <w:p w14:paraId="2C4343A5" w14:textId="2B86EBD5" w:rsidR="00AF2B9F" w:rsidRDefault="009A411B" w:rsidP="00A14157">
            <w:pPr>
              <w:rPr>
                <w:b/>
                <w:bCs/>
                <w:kern w:val="2"/>
                <w:szCs w:val="24"/>
              </w:rPr>
            </w:pPr>
            <w:r>
              <w:rPr>
                <w:b/>
                <w:bCs/>
                <w:kern w:val="2"/>
                <w:szCs w:val="24"/>
              </w:rPr>
              <w:t>5.2. Pradinės Sutarties vertė ir Sutarties kaina</w:t>
            </w:r>
            <w:r w:rsidR="00AF2B9F">
              <w:rPr>
                <w:b/>
                <w:bCs/>
                <w:kern w:val="2"/>
                <w:szCs w:val="24"/>
              </w:rPr>
              <w:t>,</w:t>
            </w:r>
          </w:p>
          <w:p w14:paraId="72120A84" w14:textId="4092EF77" w:rsidR="00AF2B9F" w:rsidRDefault="009A411B" w:rsidP="00AF2B9F">
            <w:pPr>
              <w:rPr>
                <w:b/>
                <w:bCs/>
                <w:kern w:val="2"/>
                <w:szCs w:val="24"/>
              </w:rPr>
            </w:pPr>
            <w:r>
              <w:rPr>
                <w:b/>
                <w:bCs/>
                <w:kern w:val="2"/>
                <w:szCs w:val="24"/>
              </w:rPr>
              <w:t xml:space="preserve"> </w:t>
            </w:r>
            <w:r w:rsidR="00AF2B9F">
              <w:rPr>
                <w:b/>
                <w:bCs/>
                <w:kern w:val="2"/>
                <w:szCs w:val="24"/>
              </w:rPr>
              <w:t xml:space="preserve">kai taikoma </w:t>
            </w:r>
            <w:r w:rsidR="00AF2B9F">
              <w:rPr>
                <w:b/>
                <w:bCs/>
                <w:kern w:val="2"/>
                <w:szCs w:val="24"/>
                <w:u w:val="single"/>
              </w:rPr>
              <w:t>fiksuoto</w:t>
            </w:r>
            <w:r w:rsidR="002065DD">
              <w:rPr>
                <w:b/>
                <w:bCs/>
                <w:kern w:val="2"/>
                <w:szCs w:val="24"/>
                <w:u w:val="single"/>
              </w:rPr>
              <w:t>s</w:t>
            </w:r>
            <w:r w:rsidR="00AF2B9F">
              <w:rPr>
                <w:b/>
                <w:bCs/>
                <w:kern w:val="2"/>
                <w:szCs w:val="24"/>
                <w:u w:val="single"/>
              </w:rPr>
              <w:t xml:space="preserve"> </w:t>
            </w:r>
            <w:r w:rsidR="002065DD">
              <w:rPr>
                <w:b/>
                <w:bCs/>
                <w:kern w:val="2"/>
                <w:szCs w:val="24"/>
                <w:u w:val="single"/>
              </w:rPr>
              <w:t>kainos</w:t>
            </w:r>
            <w:r w:rsidR="00AF2B9F" w:rsidRPr="00180764">
              <w:rPr>
                <w:b/>
                <w:bCs/>
                <w:kern w:val="2"/>
                <w:szCs w:val="24"/>
              </w:rPr>
              <w:t xml:space="preserve"> </w:t>
            </w:r>
            <w:r w:rsidR="00AF2B9F">
              <w:rPr>
                <w:b/>
                <w:bCs/>
                <w:kern w:val="2"/>
                <w:szCs w:val="24"/>
              </w:rPr>
              <w:t>kainodara</w:t>
            </w:r>
          </w:p>
          <w:p w14:paraId="392A5660" w14:textId="77777777" w:rsidR="00AF2B9F" w:rsidRDefault="00AF2B9F" w:rsidP="00AF2B9F">
            <w:pPr>
              <w:rPr>
                <w:b/>
                <w:bCs/>
                <w:kern w:val="2"/>
                <w:szCs w:val="24"/>
              </w:rPr>
            </w:pPr>
          </w:p>
          <w:p w14:paraId="2325BEF2" w14:textId="77777777" w:rsidR="009A411B" w:rsidRDefault="009A411B" w:rsidP="00A14157">
            <w:pPr>
              <w:rPr>
                <w:b/>
                <w:bCs/>
                <w:kern w:val="2"/>
                <w:szCs w:val="24"/>
              </w:rPr>
            </w:pPr>
          </w:p>
        </w:tc>
        <w:tc>
          <w:tcPr>
            <w:tcW w:w="6831" w:type="dxa"/>
            <w:gridSpan w:val="2"/>
          </w:tcPr>
          <w:p w14:paraId="13FCC452" w14:textId="47EC0C48" w:rsidR="00EB1D99" w:rsidRDefault="00EB1D99" w:rsidP="00EB1D9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371BE6">
              <w:rPr>
                <w:kern w:val="2"/>
                <w:szCs w:val="24"/>
              </w:rPr>
              <w:t xml:space="preserve">pridėtinės vertės mokesčio (toliau – </w:t>
            </w:r>
            <w:r>
              <w:rPr>
                <w:kern w:val="2"/>
                <w:szCs w:val="24"/>
              </w:rPr>
              <w:t>PVM</w:t>
            </w:r>
            <w:r w:rsidR="00371BE6">
              <w:rPr>
                <w:kern w:val="2"/>
                <w:szCs w:val="24"/>
              </w:rPr>
              <w:t>)</w:t>
            </w:r>
            <w:r>
              <w:rPr>
                <w:kern w:val="2"/>
                <w:szCs w:val="24"/>
              </w:rPr>
              <w:t xml:space="preserve">. </w:t>
            </w:r>
          </w:p>
          <w:p w14:paraId="63044951" w14:textId="77777777" w:rsidR="00EB1D99" w:rsidRDefault="00EB1D99" w:rsidP="00EB1D9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7D85DD" w14:textId="77777777" w:rsidR="00EB1D99" w:rsidRDefault="00EB1D99" w:rsidP="00EB1D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885362C" w14:textId="77777777" w:rsidR="00EB1D99" w:rsidRDefault="00EB1D99" w:rsidP="00EB1D99">
            <w:pPr>
              <w:rPr>
                <w:kern w:val="2"/>
                <w:szCs w:val="24"/>
              </w:rPr>
            </w:pPr>
          </w:p>
          <w:p w14:paraId="131D80F4" w14:textId="20C0F0AA" w:rsidR="009A411B" w:rsidRPr="00510F06" w:rsidRDefault="00EB1D99" w:rsidP="00EB1D99">
            <w:pPr>
              <w:jc w:val="both"/>
              <w:rPr>
                <w:kern w:val="2"/>
                <w:szCs w:val="24"/>
              </w:rPr>
            </w:pPr>
            <w:r w:rsidRPr="007B4DF9">
              <w:rPr>
                <w:kern w:val="2"/>
                <w:szCs w:val="24"/>
              </w:rPr>
              <w:t xml:space="preserve">Šioje Sutartyje Pradinės Sutarties vertė yra lygi Tiekėjo pasiūlymo kainai be PVM, </w:t>
            </w:r>
            <w:r>
              <w:rPr>
                <w:color w:val="000000"/>
                <w:kern w:val="2"/>
                <w:szCs w:val="24"/>
              </w:rPr>
              <w:t>nurodytai už visą pirkimo dokumentuose ir Sutartyje nurodytą Prekių kiekį ir (ar) apimtį.</w:t>
            </w: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6302C7F3" w14:textId="77777777" w:rsidR="009A411B" w:rsidRPr="00510F06" w:rsidRDefault="009A411B" w:rsidP="00096C20">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A411B" w:rsidRDefault="009A411B"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4F13C873" w14:textId="77777777" w:rsidR="009A411B" w:rsidRDefault="009A411B" w:rsidP="00A14157">
            <w:pPr>
              <w:jc w:val="both"/>
              <w:rPr>
                <w:kern w:val="2"/>
                <w:szCs w:val="24"/>
              </w:rPr>
            </w:pPr>
            <w:r>
              <w:rPr>
                <w:kern w:val="2"/>
              </w:rPr>
              <w:lastRenderedPageBreak/>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lastRenderedPageBreak/>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1D195146" w14:textId="3D5D5697" w:rsidR="009A411B" w:rsidRDefault="0081313F" w:rsidP="002E3AE0">
            <w:pPr>
              <w:rPr>
                <w:color w:val="4472C4"/>
                <w:kern w:val="2"/>
                <w:szCs w:val="24"/>
              </w:rPr>
            </w:pPr>
            <w:r w:rsidRPr="0081313F">
              <w:rPr>
                <w:kern w:val="2"/>
                <w:szCs w:val="24"/>
              </w:rPr>
              <w:t>Netaikoma</w:t>
            </w: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FF36FC" w14:textId="3396CC13" w:rsidR="009A411B" w:rsidRDefault="0081313F" w:rsidP="006B3E98">
            <w:pPr>
              <w:jc w:val="both"/>
              <w:rPr>
                <w:kern w:val="2"/>
                <w:szCs w:val="24"/>
              </w:rPr>
            </w:pPr>
            <w:r>
              <w:rPr>
                <w:kern w:val="2"/>
                <w:szCs w:val="24"/>
              </w:rPr>
              <w:t>Netaikoma</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39361F9D" w14:textId="77777777" w:rsidR="009A411B" w:rsidRDefault="00DA325F" w:rsidP="00DA325F">
            <w:pPr>
              <w:jc w:val="both"/>
              <w:rPr>
                <w:kern w:val="2"/>
                <w:szCs w:val="24"/>
                <w:shd w:val="clear" w:color="auto" w:fill="FFFFFF"/>
              </w:rPr>
            </w:pPr>
            <w:r>
              <w:rPr>
                <w:kern w:val="2"/>
                <w:szCs w:val="24"/>
                <w:shd w:val="clear" w:color="auto" w:fill="FFFFFF"/>
              </w:rPr>
              <w:t xml:space="preserve">5.5.1. </w:t>
            </w:r>
            <w:r w:rsidR="00D57B3E" w:rsidRPr="00EB62B0">
              <w:rPr>
                <w:kern w:val="2"/>
                <w:szCs w:val="24"/>
                <w:shd w:val="clear" w:color="auto" w:fill="FFFFFF"/>
              </w:rPr>
              <w:t xml:space="preserve">Pirkėjas atsiskaito su Tiekėju ne vėliau kaip per 30 kalendorinių dienų nuo Sąskaitos gavimo dienos ir abiejų Šalių pasirašyto </w:t>
            </w:r>
            <w:r w:rsidR="00D57B3E">
              <w:rPr>
                <w:kern w:val="2"/>
                <w:szCs w:val="24"/>
                <w:shd w:val="clear" w:color="auto" w:fill="FFFFFF"/>
              </w:rPr>
              <w:t>P</w:t>
            </w:r>
            <w:r w:rsidR="00D57B3E" w:rsidRPr="00EB62B0">
              <w:rPr>
                <w:kern w:val="2"/>
                <w:szCs w:val="24"/>
                <w:shd w:val="clear" w:color="auto" w:fill="FFFFFF"/>
              </w:rPr>
              <w:t>rek</w:t>
            </w:r>
            <w:r>
              <w:rPr>
                <w:kern w:val="2"/>
                <w:szCs w:val="24"/>
                <w:shd w:val="clear" w:color="auto" w:fill="FFFFFF"/>
              </w:rPr>
              <w:t>ės</w:t>
            </w:r>
            <w:r w:rsidR="00D57B3E">
              <w:rPr>
                <w:kern w:val="2"/>
                <w:szCs w:val="24"/>
                <w:shd w:val="clear" w:color="auto" w:fill="FFFFFF"/>
              </w:rPr>
              <w:t xml:space="preserve"> </w:t>
            </w:r>
            <w:r w:rsidR="00D57B3E" w:rsidRPr="00EB62B0">
              <w:rPr>
                <w:kern w:val="2"/>
                <w:szCs w:val="24"/>
                <w:shd w:val="clear" w:color="auto" w:fill="FFFFFF"/>
              </w:rPr>
              <w:t xml:space="preserve">perdavimo-priėmimo akto arba kito </w:t>
            </w:r>
            <w:r w:rsidR="00D57B3E">
              <w:rPr>
                <w:kern w:val="2"/>
                <w:szCs w:val="24"/>
                <w:shd w:val="clear" w:color="auto" w:fill="FFFFFF"/>
              </w:rPr>
              <w:t>P</w:t>
            </w:r>
            <w:r w:rsidR="00D57B3E" w:rsidRPr="00EB62B0">
              <w:rPr>
                <w:kern w:val="2"/>
                <w:szCs w:val="24"/>
                <w:shd w:val="clear" w:color="auto" w:fill="FFFFFF"/>
              </w:rPr>
              <w:t>rek</w:t>
            </w:r>
            <w:r>
              <w:rPr>
                <w:kern w:val="2"/>
                <w:szCs w:val="24"/>
                <w:shd w:val="clear" w:color="auto" w:fill="FFFFFF"/>
              </w:rPr>
              <w:t xml:space="preserve">ės </w:t>
            </w:r>
            <w:r w:rsidR="00D57B3E" w:rsidRPr="00EB62B0">
              <w:rPr>
                <w:kern w:val="2"/>
                <w:szCs w:val="24"/>
                <w:shd w:val="clear" w:color="auto" w:fill="FFFFFF"/>
              </w:rPr>
              <w:t xml:space="preserve">pristatymą </w:t>
            </w:r>
            <w:r>
              <w:rPr>
                <w:kern w:val="2"/>
                <w:szCs w:val="24"/>
                <w:shd w:val="clear" w:color="auto" w:fill="FFFFFF"/>
              </w:rPr>
              <w:t xml:space="preserve">ir kitų Tiekėjo įsipareigojimų, nurodytų Specialiųjų sąlygų 4.1 punkte įvykdymą </w:t>
            </w:r>
            <w:r w:rsidR="00D57B3E" w:rsidRPr="00EB62B0">
              <w:rPr>
                <w:kern w:val="2"/>
                <w:szCs w:val="24"/>
                <w:shd w:val="clear" w:color="auto" w:fill="FFFFFF"/>
              </w:rPr>
              <w:t>patvirtinančio dokumento gavimo dienos. Tiekėjo pateiktoje Sąskaitoje turi būti nurodytas Sutarties numeris.</w:t>
            </w:r>
          </w:p>
          <w:p w14:paraId="1BC2E680" w14:textId="357C0E46" w:rsidR="0015282E" w:rsidRDefault="0015282E" w:rsidP="00DA325F">
            <w:pPr>
              <w:jc w:val="both"/>
              <w:rPr>
                <w:color w:val="000000"/>
                <w:kern w:val="2"/>
                <w:szCs w:val="24"/>
                <w:shd w:val="clear" w:color="auto" w:fill="FFFFFF"/>
              </w:rPr>
            </w:pPr>
            <w:r>
              <w:rPr>
                <w:kern w:val="2"/>
                <w:szCs w:val="24"/>
                <w:shd w:val="clear" w:color="auto" w:fill="FFFFFF"/>
              </w:rPr>
              <w:t xml:space="preserve">5.5.2. Įvykdžius visus sutartinius įsipareigojimus, sumokama visa Sutarties kaina. </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t>6. PREKIŲ KOKYBĖ IR GARANTINIAI ĮSIPAREIGOJIMAI</w:t>
            </w:r>
          </w:p>
        </w:tc>
      </w:tr>
      <w:tr w:rsidR="009A411B" w:rsidRPr="00695C22" w14:paraId="025D16C8" w14:textId="77777777" w:rsidTr="00A14157">
        <w:trPr>
          <w:trHeight w:val="300"/>
        </w:trPr>
        <w:tc>
          <w:tcPr>
            <w:tcW w:w="2704" w:type="dxa"/>
            <w:gridSpan w:val="2"/>
          </w:tcPr>
          <w:p w14:paraId="49F4F8DC" w14:textId="77777777" w:rsidR="009A411B" w:rsidRDefault="009A411B" w:rsidP="00A14157">
            <w:pPr>
              <w:rPr>
                <w:b/>
                <w:bCs/>
                <w:kern w:val="2"/>
                <w:szCs w:val="24"/>
              </w:rPr>
            </w:pPr>
            <w:r>
              <w:rPr>
                <w:b/>
                <w:bCs/>
                <w:kern w:val="2"/>
                <w:szCs w:val="24"/>
              </w:rPr>
              <w:t>6.1. Garantinis terminas</w:t>
            </w:r>
          </w:p>
        </w:tc>
        <w:tc>
          <w:tcPr>
            <w:tcW w:w="6831" w:type="dxa"/>
            <w:gridSpan w:val="2"/>
          </w:tcPr>
          <w:p w14:paraId="57AC26E5" w14:textId="4E8DEF79" w:rsidR="005635AE" w:rsidRPr="00695C22" w:rsidRDefault="00193261" w:rsidP="00027700">
            <w:pPr>
              <w:jc w:val="both"/>
              <w:rPr>
                <w:kern w:val="2"/>
                <w:szCs w:val="24"/>
              </w:rPr>
            </w:pPr>
            <w:r>
              <w:rPr>
                <w:kern w:val="2"/>
                <w:szCs w:val="24"/>
              </w:rPr>
              <w:t xml:space="preserve">6.1.1. </w:t>
            </w:r>
            <w:r w:rsidRPr="00EB62B0">
              <w:rPr>
                <w:kern w:val="2"/>
                <w:szCs w:val="24"/>
              </w:rPr>
              <w:t>Prek</w:t>
            </w:r>
            <w:r>
              <w:rPr>
                <w:kern w:val="2"/>
                <w:szCs w:val="24"/>
              </w:rPr>
              <w:t>ei</w:t>
            </w:r>
            <w:r w:rsidRPr="00EB62B0">
              <w:rPr>
                <w:kern w:val="2"/>
                <w:szCs w:val="24"/>
              </w:rPr>
              <w:t xml:space="preserve"> nustatomas Tiekėjo pasiūlytas </w:t>
            </w:r>
            <w:r>
              <w:rPr>
                <w:kern w:val="2"/>
                <w:szCs w:val="24"/>
              </w:rPr>
              <w:t xml:space="preserve">ir Sutarties priede Nr.1 nurodytas </w:t>
            </w:r>
            <w:r w:rsidRPr="00EB62B0">
              <w:rPr>
                <w:kern w:val="2"/>
                <w:szCs w:val="24"/>
              </w:rPr>
              <w:t>Garantinis terminas. Garantinis terminas skaičiuojamas nuo Prek</w:t>
            </w:r>
            <w:r>
              <w:rPr>
                <w:kern w:val="2"/>
                <w:szCs w:val="24"/>
              </w:rPr>
              <w:t>ės</w:t>
            </w:r>
            <w:r w:rsidRPr="00EB62B0">
              <w:rPr>
                <w:kern w:val="2"/>
                <w:szCs w:val="24"/>
              </w:rPr>
              <w:t xml:space="preserve"> perdavimo</w:t>
            </w:r>
            <w:r w:rsidR="00027700">
              <w:rPr>
                <w:kern w:val="2"/>
                <w:szCs w:val="24"/>
              </w:rPr>
              <w:t xml:space="preserve"> - </w:t>
            </w:r>
            <w:r w:rsidRPr="00EB62B0">
              <w:rPr>
                <w:kern w:val="2"/>
                <w:szCs w:val="24"/>
              </w:rPr>
              <w:t>priėmimo akto abiejų Šalių pasirašymo dienos.</w:t>
            </w:r>
          </w:p>
        </w:tc>
      </w:tr>
      <w:tr w:rsidR="009A411B" w14:paraId="2E57C08C" w14:textId="77777777" w:rsidTr="00A14157">
        <w:trPr>
          <w:trHeight w:val="300"/>
        </w:trPr>
        <w:tc>
          <w:tcPr>
            <w:tcW w:w="2704" w:type="dxa"/>
            <w:gridSpan w:val="2"/>
          </w:tcPr>
          <w:p w14:paraId="483FA63C" w14:textId="77777777" w:rsidR="009A411B" w:rsidRPr="00851586" w:rsidRDefault="009A411B" w:rsidP="00A14157">
            <w:pPr>
              <w:rPr>
                <w:b/>
                <w:bCs/>
                <w:kern w:val="2"/>
                <w:szCs w:val="24"/>
              </w:rPr>
            </w:pPr>
            <w:r w:rsidRPr="00851586">
              <w:rPr>
                <w:b/>
                <w:bCs/>
                <w:kern w:val="2"/>
                <w:szCs w:val="24"/>
              </w:rPr>
              <w:t>6.2. Garantinė priežiūra</w:t>
            </w:r>
          </w:p>
        </w:tc>
        <w:tc>
          <w:tcPr>
            <w:tcW w:w="6831" w:type="dxa"/>
            <w:gridSpan w:val="2"/>
          </w:tcPr>
          <w:p w14:paraId="51FEF224" w14:textId="3F6B692B" w:rsidR="00695C22" w:rsidRPr="009C58E7" w:rsidRDefault="00F01379" w:rsidP="000B7416">
            <w:pPr>
              <w:jc w:val="both"/>
              <w:rPr>
                <w:kern w:val="2"/>
                <w:szCs w:val="24"/>
              </w:rPr>
            </w:pPr>
            <w:r>
              <w:rPr>
                <w:kern w:val="2"/>
                <w:szCs w:val="24"/>
              </w:rPr>
              <w:t>6.2.1. Garantinio termino laikotarpiu nustačius Prekės trūkumų</w:t>
            </w:r>
            <w:r w:rsidR="0081338D">
              <w:rPr>
                <w:kern w:val="2"/>
                <w:szCs w:val="24"/>
              </w:rPr>
              <w:t xml:space="preserve"> arba gedimą</w:t>
            </w:r>
            <w:r>
              <w:rPr>
                <w:kern w:val="2"/>
                <w:szCs w:val="24"/>
              </w:rPr>
              <w:t>, Tiekėjas turi ne vėliau kaip per 5 darbo dienas nuo Pirkėjo pranešimo pateikimo Tiekėjui dienos pašalinti Prekės trūkumus</w:t>
            </w:r>
            <w:r w:rsidR="0081338D">
              <w:rPr>
                <w:kern w:val="2"/>
                <w:szCs w:val="24"/>
              </w:rPr>
              <w:t xml:space="preserve"> arba gedimą</w:t>
            </w:r>
            <w:r>
              <w:rPr>
                <w:kern w:val="2"/>
                <w:szCs w:val="24"/>
              </w:rPr>
              <w:t xml:space="preserve">. </w:t>
            </w:r>
            <w:r w:rsidR="0081338D">
              <w:rPr>
                <w:kern w:val="2"/>
                <w:szCs w:val="24"/>
              </w:rPr>
              <w:t>Tuo atveju, jeigu neįmanoma pašalinti trūkumų arba gedimo šiame punkte nustatytu terminu, trūkumai arba gedimas turi būti pašalinti per abiejų Šalių suderintą protingą terminą.</w:t>
            </w:r>
            <w:r w:rsidR="0066626A" w:rsidRPr="009C58E7">
              <w:rPr>
                <w:kern w:val="2"/>
                <w:szCs w:val="24"/>
              </w:rPr>
              <w:t xml:space="preserve"> </w:t>
            </w:r>
          </w:p>
          <w:p w14:paraId="7A247FF9" w14:textId="740ABAB6" w:rsidR="00347512" w:rsidRDefault="009C204E" w:rsidP="00F01379">
            <w:pPr>
              <w:tabs>
                <w:tab w:val="left" w:pos="-142"/>
              </w:tabs>
              <w:autoSpaceDE w:val="0"/>
              <w:autoSpaceDN w:val="0"/>
              <w:adjustRightInd w:val="0"/>
              <w:ind w:hanging="720"/>
              <w:jc w:val="both"/>
              <w:rPr>
                <w:kern w:val="2"/>
                <w:szCs w:val="24"/>
              </w:rPr>
            </w:pPr>
            <w:r w:rsidRPr="009C58E7">
              <w:rPr>
                <w:kern w:val="2"/>
                <w:szCs w:val="24"/>
              </w:rPr>
              <w:t>6.2.3</w:t>
            </w:r>
            <w:r w:rsidR="00347512">
              <w:rPr>
                <w:kern w:val="2"/>
                <w:szCs w:val="24"/>
              </w:rPr>
              <w:t xml:space="preserve"> </w:t>
            </w:r>
          </w:p>
          <w:p w14:paraId="25BDB5F1" w14:textId="16AE6CCB" w:rsidR="000B7416" w:rsidRPr="00851586" w:rsidRDefault="000B7416" w:rsidP="000B7416">
            <w:pPr>
              <w:jc w:val="both"/>
              <w:rPr>
                <w:szCs w:val="24"/>
                <w:lang w:eastAsia="lt-LT"/>
                <w14:textOutline w14:w="0" w14:cap="flat" w14:cmpd="sng" w14:algn="ctr">
                  <w14:noFill/>
                  <w14:prstDash w14:val="solid"/>
                  <w14:bevel/>
                </w14:textOutline>
              </w:rPr>
            </w:pPr>
            <w:r w:rsidRPr="00851586">
              <w:rPr>
                <w:szCs w:val="24"/>
                <w:lang w:eastAsia="lt-LT"/>
                <w14:textOutline w14:w="0" w14:cap="flat" w14:cmpd="sng" w14:algn="ctr">
                  <w14:noFill/>
                  <w14:prstDash w14:val="solid"/>
                  <w14:bevel/>
                </w14:textOutline>
              </w:rPr>
              <w:lastRenderedPageBreak/>
              <w:t>6.2.</w:t>
            </w:r>
            <w:r w:rsidR="00F01379">
              <w:rPr>
                <w:szCs w:val="24"/>
                <w:lang w:eastAsia="lt-LT"/>
                <w14:textOutline w14:w="0" w14:cap="flat" w14:cmpd="sng" w14:algn="ctr">
                  <w14:noFill/>
                  <w14:prstDash w14:val="solid"/>
                  <w14:bevel/>
                </w14:textOutline>
              </w:rPr>
              <w:t>2</w:t>
            </w:r>
            <w:r w:rsidRPr="00851586">
              <w:rPr>
                <w:szCs w:val="24"/>
                <w:lang w:eastAsia="lt-LT"/>
                <w14:textOutline w14:w="0" w14:cap="flat" w14:cmpd="sng" w14:algn="ctr">
                  <w14:noFill/>
                  <w14:prstDash w14:val="solid"/>
                  <w14:bevel/>
                </w14:textOutline>
              </w:rPr>
              <w:t xml:space="preserve">. Pirkėjo pranešimai Tiekėjui apie </w:t>
            </w:r>
            <w:r w:rsidR="00F01379">
              <w:rPr>
                <w:szCs w:val="24"/>
                <w:lang w:eastAsia="lt-LT"/>
                <w14:textOutline w14:w="0" w14:cap="flat" w14:cmpd="sng" w14:algn="ctr">
                  <w14:noFill/>
                  <w14:prstDash w14:val="solid"/>
                  <w14:bevel/>
                </w14:textOutline>
              </w:rPr>
              <w:t>Prekės trūkumus</w:t>
            </w:r>
            <w:r w:rsidR="0081338D">
              <w:rPr>
                <w:szCs w:val="24"/>
                <w:lang w:eastAsia="lt-LT"/>
                <w14:textOutline w14:w="0" w14:cap="flat" w14:cmpd="sng" w14:algn="ctr">
                  <w14:noFill/>
                  <w14:prstDash w14:val="solid"/>
                  <w14:bevel/>
                </w14:textOutline>
              </w:rPr>
              <w:t xml:space="preserve"> arba gedimą</w:t>
            </w:r>
            <w:r w:rsidRPr="00851586">
              <w:rPr>
                <w:szCs w:val="24"/>
                <w:lang w:eastAsia="lt-LT"/>
                <w14:textOutline w14:w="0" w14:cap="flat" w14:cmpd="sng" w14:algn="ctr">
                  <w14:noFill/>
                  <w14:prstDash w14:val="solid"/>
                  <w14:bevel/>
                </w14:textOutline>
              </w:rPr>
              <w:t xml:space="preserve"> turi būti perduoti el. paštu </w:t>
            </w:r>
            <w:r w:rsidRPr="00851586">
              <w:rPr>
                <w:color w:val="2E74B5" w:themeColor="accent5" w:themeShade="BF"/>
                <w:szCs w:val="24"/>
                <w:lang w:eastAsia="lt-LT"/>
                <w14:textOutline w14:w="0" w14:cap="flat" w14:cmpd="sng" w14:algn="ctr">
                  <w14:noFill/>
                  <w14:prstDash w14:val="solid"/>
                  <w14:bevel/>
                </w14:textOutline>
              </w:rPr>
              <w:t>______________________</w:t>
            </w:r>
            <w:r w:rsidRPr="00851586">
              <w:rPr>
                <w:szCs w:val="24"/>
                <w:lang w:eastAsia="lt-LT"/>
                <w14:textOutline w14:w="0" w14:cap="flat" w14:cmpd="sng" w14:algn="ctr">
                  <w14:noFill/>
                  <w14:prstDash w14:val="solid"/>
                  <w14:bevel/>
                </w14:textOutline>
              </w:rPr>
              <w:t>.</w:t>
            </w:r>
          </w:p>
          <w:p w14:paraId="0067EF66" w14:textId="45FB7696" w:rsidR="009A411B" w:rsidRPr="00851586" w:rsidRDefault="009A411B" w:rsidP="00A325FF">
            <w:pPr>
              <w:jc w:val="both"/>
            </w:pPr>
          </w:p>
        </w:tc>
      </w:tr>
      <w:tr w:rsidR="009A411B" w14:paraId="363F01B0" w14:textId="77777777" w:rsidTr="00A14157">
        <w:trPr>
          <w:trHeight w:val="300"/>
        </w:trPr>
        <w:tc>
          <w:tcPr>
            <w:tcW w:w="2704" w:type="dxa"/>
            <w:gridSpan w:val="2"/>
          </w:tcPr>
          <w:p w14:paraId="35AFA757" w14:textId="654E72E8" w:rsidR="009A411B" w:rsidRPr="00F02DAB" w:rsidRDefault="009A411B" w:rsidP="00A325FF">
            <w:pPr>
              <w:rPr>
                <w:b/>
                <w:bCs/>
                <w:kern w:val="2"/>
                <w:szCs w:val="24"/>
              </w:rPr>
            </w:pPr>
            <w:r w:rsidRPr="00F02DAB">
              <w:rPr>
                <w:b/>
                <w:bCs/>
                <w:kern w:val="2"/>
                <w:szCs w:val="24"/>
              </w:rPr>
              <w:lastRenderedPageBreak/>
              <w:t>6.3. Kokybinių kriterijų įgyvendinimo ir tikrinimo tvarka</w:t>
            </w:r>
          </w:p>
        </w:tc>
        <w:tc>
          <w:tcPr>
            <w:tcW w:w="6831" w:type="dxa"/>
            <w:gridSpan w:val="2"/>
          </w:tcPr>
          <w:p w14:paraId="3FBC46CF" w14:textId="53B0A4EC" w:rsidR="009A411B" w:rsidRPr="00F02DAB" w:rsidRDefault="009A411B" w:rsidP="00A14157">
            <w:pPr>
              <w:jc w:val="both"/>
              <w:rPr>
                <w:kern w:val="2"/>
                <w:szCs w:val="24"/>
              </w:rPr>
            </w:pPr>
            <w:r w:rsidRPr="00F02DAB">
              <w:rPr>
                <w:kern w:val="2"/>
                <w:szCs w:val="24"/>
              </w:rPr>
              <w:t>Netaikoma</w:t>
            </w:r>
          </w:p>
          <w:p w14:paraId="34F54147" w14:textId="77777777" w:rsidR="009A411B" w:rsidRPr="00F02DAB" w:rsidRDefault="009A411B" w:rsidP="00A14157">
            <w:pPr>
              <w:jc w:val="both"/>
              <w:rPr>
                <w:kern w:val="2"/>
                <w:szCs w:val="24"/>
              </w:rPr>
            </w:pPr>
          </w:p>
          <w:p w14:paraId="2EB3793E" w14:textId="286E1B0B" w:rsidR="009A411B" w:rsidRPr="00F02DAB" w:rsidRDefault="009A411B" w:rsidP="00A14157">
            <w:pPr>
              <w:jc w:val="both"/>
              <w:rPr>
                <w:kern w:val="2"/>
                <w:szCs w:val="24"/>
              </w:rPr>
            </w:pPr>
          </w:p>
        </w:tc>
      </w:tr>
      <w:tr w:rsidR="009A411B" w14:paraId="64733AE8" w14:textId="77777777" w:rsidTr="00A14157">
        <w:trPr>
          <w:trHeight w:val="300"/>
        </w:trPr>
        <w:tc>
          <w:tcPr>
            <w:tcW w:w="9535" w:type="dxa"/>
            <w:gridSpan w:val="4"/>
          </w:tcPr>
          <w:p w14:paraId="77827FF1" w14:textId="77777777" w:rsidR="009A411B" w:rsidRDefault="009A411B" w:rsidP="00A14157">
            <w:pPr>
              <w:jc w:val="center"/>
              <w:rPr>
                <w:b/>
                <w:bCs/>
                <w:kern w:val="2"/>
                <w:szCs w:val="24"/>
              </w:rPr>
            </w:pPr>
            <w:r>
              <w:rPr>
                <w:b/>
                <w:bCs/>
                <w:kern w:val="2"/>
                <w:szCs w:val="24"/>
              </w:rPr>
              <w:t>7. SUTARTIES VYKDYMUI PASITELKIAMI SUBTIEKĖJAI</w:t>
            </w:r>
          </w:p>
        </w:tc>
      </w:tr>
      <w:tr w:rsidR="009A411B" w14:paraId="0E2E1C65" w14:textId="77777777" w:rsidTr="00A14157">
        <w:trPr>
          <w:trHeight w:val="300"/>
        </w:trPr>
        <w:tc>
          <w:tcPr>
            <w:tcW w:w="2704" w:type="dxa"/>
            <w:gridSpan w:val="2"/>
          </w:tcPr>
          <w:p w14:paraId="33A7C7F3" w14:textId="77777777" w:rsidR="009A411B" w:rsidRDefault="009A411B"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A411B" w:rsidRDefault="009A411B" w:rsidP="00A14157">
            <w:pPr>
              <w:jc w:val="both"/>
              <w:rPr>
                <w:kern w:val="2"/>
                <w:szCs w:val="24"/>
              </w:rPr>
            </w:pPr>
            <w:r>
              <w:rPr>
                <w:kern w:val="2"/>
                <w:szCs w:val="24"/>
              </w:rPr>
              <w:t>Sutarties vykdymui subtiekėjai ir (ar) specialistai nepasitelkiami.</w:t>
            </w:r>
          </w:p>
          <w:p w14:paraId="2F1D4172" w14:textId="77777777" w:rsidR="009A411B" w:rsidRDefault="009A411B" w:rsidP="00A14157">
            <w:pPr>
              <w:jc w:val="both"/>
              <w:rPr>
                <w:kern w:val="2"/>
                <w:szCs w:val="24"/>
              </w:rPr>
            </w:pPr>
          </w:p>
          <w:p w14:paraId="106484B0" w14:textId="77777777" w:rsidR="009A411B" w:rsidRPr="001E4572" w:rsidRDefault="009A411B" w:rsidP="00A14157">
            <w:pPr>
              <w:jc w:val="both"/>
              <w:rPr>
                <w:color w:val="5B9BD5" w:themeColor="accent5"/>
                <w:kern w:val="2"/>
                <w:szCs w:val="24"/>
              </w:rPr>
            </w:pPr>
            <w:r w:rsidRPr="001E4572">
              <w:rPr>
                <w:color w:val="5B9BD5" w:themeColor="accent5"/>
                <w:kern w:val="2"/>
                <w:szCs w:val="24"/>
              </w:rPr>
              <w:t>arba</w:t>
            </w:r>
          </w:p>
          <w:p w14:paraId="7B431858" w14:textId="77777777" w:rsidR="009A411B" w:rsidRDefault="009A411B" w:rsidP="00A14157">
            <w:pPr>
              <w:jc w:val="both"/>
              <w:rPr>
                <w:kern w:val="2"/>
                <w:szCs w:val="24"/>
              </w:rPr>
            </w:pPr>
          </w:p>
          <w:p w14:paraId="5809E1F3" w14:textId="77777777" w:rsidR="009A411B" w:rsidRDefault="009A411B"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A411B" w14:paraId="264723A2" w14:textId="77777777" w:rsidTr="00A14157">
        <w:trPr>
          <w:trHeight w:val="300"/>
        </w:trPr>
        <w:tc>
          <w:tcPr>
            <w:tcW w:w="9535" w:type="dxa"/>
            <w:gridSpan w:val="4"/>
          </w:tcPr>
          <w:p w14:paraId="1A03FE80" w14:textId="77777777" w:rsidR="009A411B" w:rsidRDefault="009A411B" w:rsidP="00A14157">
            <w:pPr>
              <w:jc w:val="center"/>
              <w:rPr>
                <w:b/>
                <w:bCs/>
                <w:kern w:val="2"/>
                <w:szCs w:val="24"/>
              </w:rPr>
            </w:pPr>
            <w:r>
              <w:rPr>
                <w:b/>
                <w:bCs/>
                <w:kern w:val="2"/>
                <w:szCs w:val="24"/>
              </w:rPr>
              <w:t>8. PRIEVOLIŲ PAGAL SUTARTĮ ĮVYKDYMO UŽTIKRINIMAS</w:t>
            </w:r>
          </w:p>
        </w:tc>
      </w:tr>
      <w:tr w:rsidR="009A411B" w14:paraId="6D50BC65" w14:textId="77777777" w:rsidTr="00A14157">
        <w:trPr>
          <w:trHeight w:val="300"/>
        </w:trPr>
        <w:tc>
          <w:tcPr>
            <w:tcW w:w="2704" w:type="dxa"/>
            <w:gridSpan w:val="2"/>
          </w:tcPr>
          <w:p w14:paraId="122EBAFF" w14:textId="77777777" w:rsidR="009A411B" w:rsidRDefault="009A411B"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A411B" w:rsidRDefault="009A411B" w:rsidP="00A14157">
            <w:pPr>
              <w:rPr>
                <w:kern w:val="2"/>
                <w:szCs w:val="24"/>
              </w:rPr>
            </w:pPr>
            <w:r>
              <w:rPr>
                <w:kern w:val="2"/>
                <w:szCs w:val="24"/>
              </w:rPr>
              <w:t>Prievolių pagal Sutartį įvykdymas užtikrinamas:</w:t>
            </w:r>
          </w:p>
          <w:p w14:paraId="189027BA" w14:textId="77777777" w:rsidR="009A411B" w:rsidRPr="00846D7E" w:rsidRDefault="009A411B" w:rsidP="00A14157">
            <w:pPr>
              <w:rPr>
                <w:kern w:val="2"/>
                <w:szCs w:val="24"/>
                <w:highlight w:val="yellow"/>
              </w:rPr>
            </w:pPr>
            <w:r>
              <w:rPr>
                <w:kern w:val="2"/>
                <w:szCs w:val="24"/>
              </w:rPr>
              <w:t>Netesybomis (delspinigiais, bauda).</w:t>
            </w:r>
          </w:p>
        </w:tc>
      </w:tr>
      <w:tr w:rsidR="009A411B" w14:paraId="2FE62C61" w14:textId="77777777" w:rsidTr="00A14157">
        <w:trPr>
          <w:trHeight w:val="300"/>
        </w:trPr>
        <w:tc>
          <w:tcPr>
            <w:tcW w:w="2704" w:type="dxa"/>
            <w:gridSpan w:val="2"/>
          </w:tcPr>
          <w:p w14:paraId="7C6C45E9" w14:textId="1148275D" w:rsidR="009A411B" w:rsidRPr="000E3C87" w:rsidRDefault="009A411B"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9A411B" w:rsidRPr="000E3C87" w:rsidRDefault="009A411B" w:rsidP="00A14157">
            <w:pPr>
              <w:rPr>
                <w:kern w:val="2"/>
                <w:szCs w:val="24"/>
              </w:rPr>
            </w:pPr>
            <w:r w:rsidRPr="000E3C87">
              <w:rPr>
                <w:kern w:val="2"/>
                <w:szCs w:val="24"/>
              </w:rPr>
              <w:t>Netaikoma</w:t>
            </w:r>
          </w:p>
        </w:tc>
      </w:tr>
      <w:tr w:rsidR="009A411B" w14:paraId="788F6D5F" w14:textId="77777777" w:rsidTr="00A14157">
        <w:trPr>
          <w:trHeight w:val="300"/>
        </w:trPr>
        <w:tc>
          <w:tcPr>
            <w:tcW w:w="2704" w:type="dxa"/>
            <w:gridSpan w:val="2"/>
          </w:tcPr>
          <w:p w14:paraId="4D5866E0" w14:textId="624D16C4" w:rsidR="009A411B" w:rsidRPr="000E3C87" w:rsidRDefault="009A411B"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9A411B" w:rsidRPr="000E3C87" w:rsidRDefault="009A411B" w:rsidP="00A14157">
            <w:pPr>
              <w:jc w:val="both"/>
              <w:rPr>
                <w:kern w:val="2"/>
                <w:szCs w:val="24"/>
              </w:rPr>
            </w:pPr>
            <w:r w:rsidRPr="000E3C87">
              <w:rPr>
                <w:kern w:val="2"/>
                <w:szCs w:val="24"/>
              </w:rPr>
              <w:t>Netaikoma</w:t>
            </w:r>
          </w:p>
        </w:tc>
      </w:tr>
      <w:tr w:rsidR="009A411B" w14:paraId="5C0AF63F" w14:textId="77777777" w:rsidTr="00A14157">
        <w:trPr>
          <w:trHeight w:val="300"/>
        </w:trPr>
        <w:tc>
          <w:tcPr>
            <w:tcW w:w="9535" w:type="dxa"/>
            <w:gridSpan w:val="4"/>
          </w:tcPr>
          <w:p w14:paraId="3163C861" w14:textId="77777777" w:rsidR="009A411B" w:rsidRDefault="009A411B" w:rsidP="00A14157">
            <w:pPr>
              <w:ind w:firstLine="720"/>
              <w:jc w:val="center"/>
              <w:rPr>
                <w:b/>
                <w:bCs/>
                <w:kern w:val="2"/>
                <w:szCs w:val="24"/>
              </w:rPr>
            </w:pPr>
            <w:r>
              <w:rPr>
                <w:b/>
                <w:bCs/>
                <w:kern w:val="2"/>
                <w:szCs w:val="24"/>
              </w:rPr>
              <w:t>9. ŠALIŲ ATSAKOMYBĖ</w:t>
            </w:r>
            <w:r>
              <w:rPr>
                <w:b/>
                <w:bCs/>
                <w:kern w:val="2"/>
                <w:szCs w:val="24"/>
              </w:rPr>
              <w:tab/>
            </w:r>
          </w:p>
        </w:tc>
      </w:tr>
      <w:tr w:rsidR="009A411B" w14:paraId="3FA8FA9F" w14:textId="77777777" w:rsidTr="00A14157">
        <w:trPr>
          <w:trHeight w:val="300"/>
        </w:trPr>
        <w:tc>
          <w:tcPr>
            <w:tcW w:w="2704" w:type="dxa"/>
            <w:gridSpan w:val="2"/>
          </w:tcPr>
          <w:p w14:paraId="2B95B3E4" w14:textId="77777777" w:rsidR="009A411B" w:rsidRDefault="009A411B"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439275B4" w:rsidR="009A411B" w:rsidRDefault="009A411B" w:rsidP="00EB3B93">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A411B" w14:paraId="0A3D796D" w14:textId="77777777" w:rsidTr="00A14157">
        <w:trPr>
          <w:trHeight w:val="300"/>
        </w:trPr>
        <w:tc>
          <w:tcPr>
            <w:tcW w:w="2704" w:type="dxa"/>
            <w:gridSpan w:val="2"/>
          </w:tcPr>
          <w:p w14:paraId="50A38572" w14:textId="77777777" w:rsidR="009A411B" w:rsidRDefault="009A411B" w:rsidP="00A14157">
            <w:pPr>
              <w:rPr>
                <w:b/>
                <w:bCs/>
                <w:kern w:val="2"/>
                <w:szCs w:val="24"/>
              </w:rPr>
            </w:pPr>
            <w:r>
              <w:rPr>
                <w:b/>
                <w:bCs/>
                <w:kern w:val="2"/>
                <w:szCs w:val="24"/>
              </w:rPr>
              <w:t>9.2. Tiekėjui taikomos netesybos</w:t>
            </w:r>
          </w:p>
        </w:tc>
        <w:tc>
          <w:tcPr>
            <w:tcW w:w="6831" w:type="dxa"/>
            <w:gridSpan w:val="2"/>
          </w:tcPr>
          <w:p w14:paraId="2C433E88" w14:textId="6B2E0A81" w:rsidR="009A411B" w:rsidRDefault="009A411B" w:rsidP="00EB3B93">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w:t>
            </w:r>
            <w:r w:rsidR="000B7416">
              <w:rPr>
                <w:kern w:val="2"/>
                <w:szCs w:val="24"/>
              </w:rPr>
              <w:t xml:space="preserve"> </w:t>
            </w:r>
            <w:r w:rsidRPr="00EB62B0">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w:t>
            </w:r>
            <w:r w:rsidR="00EB3B93">
              <w:rPr>
                <w:kern w:val="2"/>
                <w:szCs w:val="24"/>
              </w:rPr>
              <w:t>,</w:t>
            </w:r>
            <w:r w:rsidR="00DF24AE">
              <w:rPr>
                <w:kern w:val="2"/>
                <w:szCs w:val="24"/>
              </w:rPr>
              <w:t xml:space="preserve"> </w:t>
            </w:r>
            <w:r w:rsidRPr="00EB62B0">
              <w:rPr>
                <w:kern w:val="2"/>
                <w:szCs w:val="24"/>
              </w:rPr>
              <w:t>kainos be PVM, bet ne mažiau kaip 30 Eur, jei apskaičiuota delspinigių suma yra mažesnė negu 30 Eur. </w:t>
            </w:r>
          </w:p>
          <w:p w14:paraId="5A6CB0E2" w14:textId="43CE8DB1" w:rsidR="009A411B" w:rsidRPr="00F07726" w:rsidRDefault="009A411B" w:rsidP="00EB3B93">
            <w:pPr>
              <w:jc w:val="both"/>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4254855B" w14:textId="477CBAB5" w:rsidR="009A411B" w:rsidRDefault="009A411B" w:rsidP="00EB3B93">
            <w:pPr>
              <w:jc w:val="both"/>
              <w:rPr>
                <w:kern w:val="2"/>
                <w:szCs w:val="24"/>
              </w:rPr>
            </w:pPr>
            <w:r>
              <w:rPr>
                <w:kern w:val="2"/>
                <w:szCs w:val="24"/>
              </w:rPr>
              <w:t>9.2.3. Tiekėjas privalo sumokėti Pirkėjui netesybas per 5 (penkias) darbo dienas nuo Pirkėjo pareikalavimo</w:t>
            </w:r>
            <w:r w:rsidR="00DD090E">
              <w:rPr>
                <w:kern w:val="2"/>
                <w:szCs w:val="24"/>
              </w:rPr>
              <w:t>, jeigu netesybų suma nėra išskaitoma iš Tiekėjui mokėtinos sumos</w:t>
            </w:r>
            <w:r>
              <w:rPr>
                <w:kern w:val="2"/>
                <w:szCs w:val="24"/>
              </w:rPr>
              <w:t xml:space="preserve">.   </w:t>
            </w:r>
          </w:p>
          <w:p w14:paraId="2AC2B243" w14:textId="2C8EE532" w:rsidR="009A411B" w:rsidRPr="00EB62B0" w:rsidRDefault="009A411B" w:rsidP="00791736">
            <w:pPr>
              <w:jc w:val="both"/>
              <w:rPr>
                <w:kern w:val="2"/>
                <w:szCs w:val="24"/>
              </w:rPr>
            </w:pPr>
          </w:p>
        </w:tc>
      </w:tr>
      <w:tr w:rsidR="009A411B" w14:paraId="4180DB1E" w14:textId="77777777" w:rsidTr="00A14157">
        <w:trPr>
          <w:trHeight w:val="300"/>
        </w:trPr>
        <w:tc>
          <w:tcPr>
            <w:tcW w:w="2704" w:type="dxa"/>
            <w:gridSpan w:val="2"/>
          </w:tcPr>
          <w:p w14:paraId="73681034" w14:textId="018FDED0" w:rsidR="009A411B" w:rsidRPr="00EB62B0" w:rsidRDefault="009A411B" w:rsidP="00A14157">
            <w:pPr>
              <w:rPr>
                <w:b/>
                <w:bCs/>
                <w:kern w:val="2"/>
                <w:szCs w:val="24"/>
              </w:rPr>
            </w:pPr>
            <w:r w:rsidRPr="00EB62B0">
              <w:rPr>
                <w:b/>
                <w:bCs/>
                <w:kern w:val="2"/>
                <w:szCs w:val="24"/>
              </w:rPr>
              <w:lastRenderedPageBreak/>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9A411B" w:rsidRPr="00B10727" w:rsidRDefault="009A411B"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66CC2A55" w14:textId="1A42E1A2" w:rsidR="009A411B" w:rsidRPr="00D8060E" w:rsidRDefault="009A411B" w:rsidP="00E91A9C">
            <w:pPr>
              <w:jc w:val="both"/>
              <w:rPr>
                <w:strike/>
                <w:kern w:val="2"/>
                <w:szCs w:val="24"/>
              </w:rPr>
            </w:pPr>
          </w:p>
        </w:tc>
      </w:tr>
      <w:tr w:rsidR="009A411B" w14:paraId="32A4146E" w14:textId="77777777" w:rsidTr="00A14157">
        <w:trPr>
          <w:trHeight w:val="300"/>
        </w:trPr>
        <w:tc>
          <w:tcPr>
            <w:tcW w:w="2704" w:type="dxa"/>
            <w:gridSpan w:val="2"/>
          </w:tcPr>
          <w:p w14:paraId="0762D862" w14:textId="77777777" w:rsidR="009A411B" w:rsidRPr="00EB62B0" w:rsidRDefault="009A411B"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A411B" w:rsidRPr="00EB62B0" w:rsidRDefault="009A411B"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A411B" w:rsidRPr="00EB62B0" w:rsidRDefault="009A411B" w:rsidP="00A14157">
            <w:pPr>
              <w:tabs>
                <w:tab w:val="left" w:pos="1418"/>
              </w:tabs>
              <w:jc w:val="both"/>
              <w:rPr>
                <w:bCs/>
                <w:szCs w:val="24"/>
              </w:rPr>
            </w:pPr>
          </w:p>
          <w:p w14:paraId="78D230B9" w14:textId="79AD831D" w:rsidR="009A411B" w:rsidRPr="00EB62B0" w:rsidRDefault="009A411B"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9A411B" w14:paraId="72E510C6" w14:textId="77777777" w:rsidTr="00A14157">
        <w:trPr>
          <w:trHeight w:val="300"/>
        </w:trPr>
        <w:tc>
          <w:tcPr>
            <w:tcW w:w="2704" w:type="dxa"/>
            <w:gridSpan w:val="2"/>
          </w:tcPr>
          <w:p w14:paraId="5BB0971A" w14:textId="77777777" w:rsidR="009A411B" w:rsidRPr="00EB62B0" w:rsidRDefault="009A411B"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9A411B" w:rsidRPr="00D10E78" w:rsidRDefault="009A411B"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9A411B" w:rsidRPr="00D10E78" w:rsidRDefault="009A411B" w:rsidP="00A14157">
            <w:pPr>
              <w:tabs>
                <w:tab w:val="left" w:pos="1418"/>
              </w:tabs>
              <w:jc w:val="both"/>
              <w:rPr>
                <w:bCs/>
                <w:szCs w:val="24"/>
              </w:rPr>
            </w:pPr>
          </w:p>
          <w:p w14:paraId="02041D4F" w14:textId="32FBD342" w:rsidR="009A411B" w:rsidRPr="00D10E78" w:rsidRDefault="009A411B"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9A411B" w14:paraId="24CC8BF4" w14:textId="77777777" w:rsidTr="00A14157">
        <w:trPr>
          <w:trHeight w:val="300"/>
        </w:trPr>
        <w:tc>
          <w:tcPr>
            <w:tcW w:w="2704" w:type="dxa"/>
            <w:gridSpan w:val="2"/>
            <w:shd w:val="clear" w:color="auto" w:fill="auto"/>
          </w:tcPr>
          <w:p w14:paraId="58C17B29" w14:textId="77777777" w:rsidR="009A411B" w:rsidRPr="00EB62B0" w:rsidRDefault="009A411B"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9A411B" w:rsidRPr="00EB62B0" w:rsidRDefault="009A411B" w:rsidP="00A14157">
            <w:pPr>
              <w:rPr>
                <w:color w:val="4472C4"/>
                <w:kern w:val="2"/>
                <w:szCs w:val="24"/>
              </w:rPr>
            </w:pPr>
            <w:r w:rsidRPr="00EB62B0">
              <w:rPr>
                <w:kern w:val="2"/>
                <w:szCs w:val="24"/>
              </w:rPr>
              <w:t>Netaikoma</w:t>
            </w:r>
          </w:p>
          <w:p w14:paraId="0FA41529" w14:textId="77777777" w:rsidR="009A411B" w:rsidRPr="00EB62B0" w:rsidRDefault="009A411B" w:rsidP="00A14157">
            <w:pPr>
              <w:rPr>
                <w:color w:val="4472C4"/>
                <w:kern w:val="2"/>
                <w:szCs w:val="24"/>
              </w:rPr>
            </w:pPr>
          </w:p>
        </w:tc>
      </w:tr>
      <w:tr w:rsidR="009A411B" w14:paraId="1F4941C5" w14:textId="77777777" w:rsidTr="00A14157">
        <w:trPr>
          <w:trHeight w:val="300"/>
        </w:trPr>
        <w:tc>
          <w:tcPr>
            <w:tcW w:w="2704" w:type="dxa"/>
            <w:gridSpan w:val="2"/>
          </w:tcPr>
          <w:p w14:paraId="5621E31C" w14:textId="66B0F0E9" w:rsidR="009A411B" w:rsidRPr="00EB62B0" w:rsidRDefault="009A411B"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9A411B" w:rsidRPr="00EA1663" w:rsidRDefault="009A411B" w:rsidP="00A14157">
            <w:pPr>
              <w:jc w:val="both"/>
              <w:rPr>
                <w:szCs w:val="24"/>
              </w:rPr>
            </w:pPr>
            <w:r>
              <w:rPr>
                <w:kern w:val="2"/>
                <w:szCs w:val="24"/>
              </w:rPr>
              <w:t>Netaikoma</w:t>
            </w:r>
          </w:p>
          <w:p w14:paraId="7C3884BD" w14:textId="77777777" w:rsidR="009A411B" w:rsidRPr="00E4747F" w:rsidRDefault="009A411B" w:rsidP="00A14157">
            <w:pPr>
              <w:jc w:val="both"/>
              <w:rPr>
                <w:color w:val="4472C4"/>
                <w:kern w:val="2"/>
                <w:szCs w:val="24"/>
              </w:rPr>
            </w:pPr>
          </w:p>
        </w:tc>
      </w:tr>
      <w:tr w:rsidR="009A411B" w14:paraId="04206206" w14:textId="77777777" w:rsidTr="00A14157">
        <w:trPr>
          <w:trHeight w:val="300"/>
        </w:trPr>
        <w:tc>
          <w:tcPr>
            <w:tcW w:w="2704" w:type="dxa"/>
            <w:gridSpan w:val="2"/>
          </w:tcPr>
          <w:p w14:paraId="586CE6D3" w14:textId="77777777" w:rsidR="009A411B" w:rsidRPr="00BB00B3" w:rsidRDefault="009A411B"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A411B" w:rsidRDefault="009A411B" w:rsidP="00A14157">
            <w:pPr>
              <w:jc w:val="both"/>
              <w:rPr>
                <w:color w:val="4472C4"/>
                <w:kern w:val="2"/>
                <w:szCs w:val="24"/>
              </w:rPr>
            </w:pPr>
            <w:r>
              <w:rPr>
                <w:kern w:val="2"/>
                <w:szCs w:val="24"/>
              </w:rPr>
              <w:t xml:space="preserve">Netaikoma </w:t>
            </w:r>
          </w:p>
        </w:tc>
      </w:tr>
      <w:tr w:rsidR="009A411B" w14:paraId="542D05C4" w14:textId="77777777" w:rsidTr="00A14157">
        <w:trPr>
          <w:trHeight w:val="300"/>
        </w:trPr>
        <w:tc>
          <w:tcPr>
            <w:tcW w:w="2704" w:type="dxa"/>
            <w:gridSpan w:val="2"/>
          </w:tcPr>
          <w:p w14:paraId="7EDE3AB3" w14:textId="4C63BF7D" w:rsidR="009A411B" w:rsidRPr="009A4DFD" w:rsidRDefault="009A411B" w:rsidP="00A14157">
            <w:pPr>
              <w:rPr>
                <w:b/>
                <w:bCs/>
                <w:kern w:val="2"/>
                <w:szCs w:val="24"/>
              </w:rPr>
            </w:pPr>
            <w:r w:rsidRPr="009A4DFD">
              <w:rPr>
                <w:b/>
                <w:bCs/>
                <w:kern w:val="2"/>
                <w:szCs w:val="24"/>
              </w:rPr>
              <w:t xml:space="preserve">9.9. Tiekėjui taikoma bauda dėl Pirkėjo simbolių, pavadinimo ir ženklo reklamoje ar rinkodaroje naudojimo reikalavimų </w:t>
            </w:r>
            <w:r w:rsidRPr="009A4DFD">
              <w:rPr>
                <w:b/>
                <w:bCs/>
                <w:kern w:val="2"/>
                <w:szCs w:val="24"/>
              </w:rPr>
              <w:lastRenderedPageBreak/>
              <w:t>nesilaikymo bei draudimo naudotis Pirkėjo sukurtais intelektiniais veiklos rezultatais nesilaikymo</w:t>
            </w:r>
          </w:p>
        </w:tc>
        <w:tc>
          <w:tcPr>
            <w:tcW w:w="6831" w:type="dxa"/>
            <w:gridSpan w:val="2"/>
          </w:tcPr>
          <w:p w14:paraId="2E7EDE90" w14:textId="43FBECB1" w:rsidR="009A411B" w:rsidRPr="009A4DFD" w:rsidRDefault="009A411B" w:rsidP="00A14157">
            <w:pPr>
              <w:jc w:val="both"/>
              <w:rPr>
                <w:kern w:val="2"/>
                <w:szCs w:val="24"/>
              </w:rPr>
            </w:pPr>
            <w:r w:rsidRPr="009A4DFD">
              <w:rPr>
                <w:kern w:val="2"/>
                <w:szCs w:val="24"/>
              </w:rPr>
              <w:lastRenderedPageBreak/>
              <w:t>Netaikoma</w:t>
            </w:r>
          </w:p>
        </w:tc>
      </w:tr>
      <w:tr w:rsidR="009A411B" w14:paraId="663C01EB" w14:textId="77777777" w:rsidTr="00A14157">
        <w:trPr>
          <w:trHeight w:val="300"/>
        </w:trPr>
        <w:tc>
          <w:tcPr>
            <w:tcW w:w="2704" w:type="dxa"/>
            <w:gridSpan w:val="2"/>
          </w:tcPr>
          <w:p w14:paraId="695D2F3C" w14:textId="414C9266" w:rsidR="009A411B" w:rsidRPr="00EB62B0" w:rsidRDefault="009A411B" w:rsidP="004569BC">
            <w:pPr>
              <w:rPr>
                <w:b/>
                <w:bCs/>
                <w:kern w:val="2"/>
                <w:szCs w:val="24"/>
                <w:lang w:val="en-US"/>
              </w:rPr>
            </w:pPr>
            <w:r w:rsidRPr="009A4DFD">
              <w:rPr>
                <w:b/>
                <w:bCs/>
                <w:kern w:val="2"/>
                <w:szCs w:val="24"/>
                <w:lang w:val="en-US"/>
              </w:rPr>
              <w:lastRenderedPageBreak/>
              <w:t xml:space="preserve">9.10. </w:t>
            </w:r>
            <w:r w:rsidRPr="009A4DFD">
              <w:rPr>
                <w:b/>
                <w:bCs/>
                <w:kern w:val="2"/>
                <w:szCs w:val="24"/>
              </w:rPr>
              <w:t>Kitos netesybos</w:t>
            </w:r>
          </w:p>
        </w:tc>
        <w:tc>
          <w:tcPr>
            <w:tcW w:w="6831" w:type="dxa"/>
            <w:gridSpan w:val="2"/>
          </w:tcPr>
          <w:p w14:paraId="36E9ED56" w14:textId="77777777" w:rsidR="009A411B" w:rsidRDefault="009A411B"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2125A98B" w14:textId="77777777" w:rsidR="009A411B" w:rsidRDefault="009A411B" w:rsidP="0097157F">
            <w:pPr>
              <w:jc w:val="both"/>
              <w:rPr>
                <w:kern w:val="2"/>
                <w:szCs w:val="24"/>
              </w:rPr>
            </w:pPr>
            <w:r w:rsidRPr="00530B12">
              <w:rPr>
                <w:kern w:val="2"/>
                <w:szCs w:val="24"/>
              </w:rPr>
              <w:t>9.9.2. Jeigu netesybos neišskaičiuojamos iš Tiekėjui mokėtinos sumos, Tiekėjas privalo sumokėti Pirkėjui netesybas per 5 (penkias) darbo dienas nuo Pirkėjo pareikalavimo.</w:t>
            </w:r>
          </w:p>
          <w:p w14:paraId="4742BC3B" w14:textId="65CE11D7" w:rsidR="00A11C3E" w:rsidRPr="00EB62B0" w:rsidRDefault="00A11C3E" w:rsidP="0097157F">
            <w:pPr>
              <w:jc w:val="both"/>
              <w:rPr>
                <w:color w:val="4472C4"/>
                <w:kern w:val="2"/>
                <w:szCs w:val="24"/>
              </w:rPr>
            </w:pPr>
          </w:p>
        </w:tc>
      </w:tr>
      <w:tr w:rsidR="009A411B" w14:paraId="5F8A4C93" w14:textId="77777777" w:rsidTr="00155F60">
        <w:trPr>
          <w:trHeight w:val="300"/>
        </w:trPr>
        <w:tc>
          <w:tcPr>
            <w:tcW w:w="9535" w:type="dxa"/>
            <w:gridSpan w:val="4"/>
          </w:tcPr>
          <w:p w14:paraId="39C1EC12" w14:textId="16D00A44" w:rsidR="009A411B" w:rsidRDefault="009A411B" w:rsidP="00B00705">
            <w:pPr>
              <w:jc w:val="center"/>
            </w:pPr>
            <w:r w:rsidRPr="002E3AE0">
              <w:rPr>
                <w:b/>
                <w:kern w:val="2"/>
                <w:szCs w:val="24"/>
              </w:rPr>
              <w:t>10. ESMINĖS SUTARTIES SĄLYGOS</w:t>
            </w:r>
          </w:p>
        </w:tc>
      </w:tr>
      <w:tr w:rsidR="009A411B" w14:paraId="06D4D592" w14:textId="77777777" w:rsidTr="00A14157">
        <w:trPr>
          <w:trHeight w:val="300"/>
        </w:trPr>
        <w:tc>
          <w:tcPr>
            <w:tcW w:w="2704" w:type="dxa"/>
            <w:gridSpan w:val="2"/>
          </w:tcPr>
          <w:p w14:paraId="2910F8DA" w14:textId="3DE5797C" w:rsidR="009A411B" w:rsidRPr="00EB62B0" w:rsidRDefault="009A411B" w:rsidP="004569BC">
            <w:pPr>
              <w:rPr>
                <w:b/>
                <w:bCs/>
                <w:kern w:val="2"/>
                <w:szCs w:val="24"/>
                <w:lang w:val="en-US"/>
              </w:rPr>
            </w:pPr>
            <w:r>
              <w:rPr>
                <w:b/>
                <w:bCs/>
              </w:rPr>
              <w:t>10.1. Esminės Sutarties sąlygos</w:t>
            </w:r>
          </w:p>
        </w:tc>
        <w:tc>
          <w:tcPr>
            <w:tcW w:w="6831" w:type="dxa"/>
            <w:gridSpan w:val="2"/>
          </w:tcPr>
          <w:p w14:paraId="305CD5BC" w14:textId="77777777" w:rsidR="009A411B" w:rsidRDefault="009A411B" w:rsidP="00B00705">
            <w:pPr>
              <w:rPr>
                <w:kern w:val="2"/>
                <w:szCs w:val="24"/>
              </w:rPr>
            </w:pPr>
            <w:r>
              <w:rPr>
                <w:kern w:val="2"/>
                <w:szCs w:val="24"/>
              </w:rPr>
              <w:t>Netaikoma</w:t>
            </w:r>
          </w:p>
          <w:p w14:paraId="748062CA" w14:textId="77777777" w:rsidR="009A411B" w:rsidRDefault="009A411B" w:rsidP="00B00705">
            <w:pPr>
              <w:rPr>
                <w:b/>
                <w:bCs/>
                <w:kern w:val="2"/>
                <w:szCs w:val="24"/>
              </w:rPr>
            </w:pPr>
          </w:p>
          <w:p w14:paraId="0B27898E" w14:textId="60C9084E" w:rsidR="009A411B" w:rsidRDefault="009A411B" w:rsidP="0063281F">
            <w:pPr>
              <w:jc w:val="both"/>
            </w:pPr>
          </w:p>
        </w:tc>
      </w:tr>
      <w:tr w:rsidR="009A411B" w14:paraId="32E29181" w14:textId="77777777" w:rsidTr="00A14157">
        <w:trPr>
          <w:trHeight w:val="300"/>
        </w:trPr>
        <w:tc>
          <w:tcPr>
            <w:tcW w:w="2704" w:type="dxa"/>
            <w:gridSpan w:val="2"/>
          </w:tcPr>
          <w:p w14:paraId="6E1F661B" w14:textId="79F151E8" w:rsidR="009A411B" w:rsidRPr="00B00705" w:rsidRDefault="009A411B"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9A411B" w:rsidRDefault="009A411B" w:rsidP="0063281F">
            <w:pPr>
              <w:rPr>
                <w:kern w:val="2"/>
                <w:szCs w:val="24"/>
              </w:rPr>
            </w:pPr>
            <w:r>
              <w:rPr>
                <w:kern w:val="2"/>
                <w:szCs w:val="24"/>
              </w:rPr>
              <w:t xml:space="preserve">Netaikoma </w:t>
            </w:r>
          </w:p>
          <w:p w14:paraId="12230532" w14:textId="77777777" w:rsidR="009A411B" w:rsidRDefault="009A411B" w:rsidP="00B00705">
            <w:pPr>
              <w:rPr>
                <w:kern w:val="2"/>
                <w:szCs w:val="24"/>
              </w:rPr>
            </w:pPr>
          </w:p>
          <w:p w14:paraId="648B06FC" w14:textId="77777777" w:rsidR="009A411B" w:rsidRDefault="009A411B" w:rsidP="00B00705">
            <w:pPr>
              <w:rPr>
                <w:kern w:val="2"/>
                <w:szCs w:val="24"/>
              </w:rPr>
            </w:pPr>
          </w:p>
          <w:p w14:paraId="459CFEAA" w14:textId="787DF6EA" w:rsidR="009A411B" w:rsidRDefault="009A411B" w:rsidP="00B00705">
            <w:pPr>
              <w:jc w:val="both"/>
            </w:pPr>
          </w:p>
        </w:tc>
      </w:tr>
      <w:tr w:rsidR="009A411B" w14:paraId="6F32BC0E" w14:textId="77777777" w:rsidTr="00A14157">
        <w:trPr>
          <w:trHeight w:val="300"/>
        </w:trPr>
        <w:tc>
          <w:tcPr>
            <w:tcW w:w="9535" w:type="dxa"/>
            <w:gridSpan w:val="4"/>
          </w:tcPr>
          <w:p w14:paraId="27227016" w14:textId="12655B3B" w:rsidR="009A411B" w:rsidRDefault="009A411B"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9A411B" w14:paraId="4D690FC9" w14:textId="77777777" w:rsidTr="00A14157">
        <w:trPr>
          <w:trHeight w:val="300"/>
        </w:trPr>
        <w:tc>
          <w:tcPr>
            <w:tcW w:w="2704" w:type="dxa"/>
            <w:gridSpan w:val="2"/>
          </w:tcPr>
          <w:p w14:paraId="08654A8B" w14:textId="4622CF06" w:rsidR="009A411B" w:rsidRPr="00E61731" w:rsidRDefault="009A411B" w:rsidP="005E7899">
            <w:pPr>
              <w:rPr>
                <w:b/>
                <w:bCs/>
                <w:kern w:val="2"/>
                <w:szCs w:val="24"/>
              </w:rPr>
            </w:pPr>
            <w:r w:rsidRPr="00E61731">
              <w:rPr>
                <w:b/>
                <w:bCs/>
                <w:kern w:val="2"/>
                <w:szCs w:val="24"/>
              </w:rPr>
              <w:t>11.1. Sutarties sudarymas ir įsigaliojimas</w:t>
            </w:r>
          </w:p>
        </w:tc>
        <w:tc>
          <w:tcPr>
            <w:tcW w:w="6831" w:type="dxa"/>
            <w:gridSpan w:val="2"/>
          </w:tcPr>
          <w:p w14:paraId="36A01CD7" w14:textId="77777777" w:rsidR="00CB3F6C" w:rsidRPr="00234CB6" w:rsidRDefault="00CB3F6C" w:rsidP="00CB3F6C">
            <w:pPr>
              <w:jc w:val="both"/>
              <w:rPr>
                <w:kern w:val="2"/>
                <w:szCs w:val="24"/>
              </w:rPr>
            </w:pPr>
            <w:r w:rsidRPr="00234CB6">
              <w:rPr>
                <w:kern w:val="2"/>
                <w:szCs w:val="24"/>
              </w:rPr>
              <w:t>Ši Sutartis laikoma sudaryta ir įsigalioja nuo Sutarties pasirašymo dienos (antrosios Šalies pasirašymo dieną).</w:t>
            </w:r>
          </w:p>
          <w:p w14:paraId="3BC7EEBD" w14:textId="5C7B5067" w:rsidR="007174E7" w:rsidRDefault="00CB3F6C" w:rsidP="007174E7">
            <w:pPr>
              <w:jc w:val="both"/>
              <w:rPr>
                <w:bCs/>
                <w:color w:val="000000"/>
                <w:kern w:val="2"/>
                <w:szCs w:val="24"/>
              </w:rPr>
            </w:pPr>
            <w:r w:rsidRPr="00234CB6">
              <w:rPr>
                <w:color w:val="000000"/>
                <w:kern w:val="2"/>
                <w:szCs w:val="24"/>
              </w:rPr>
              <w:t xml:space="preserve">Sutartis galioja </w:t>
            </w:r>
            <w:r>
              <w:rPr>
                <w:color w:val="000000"/>
                <w:kern w:val="2"/>
                <w:szCs w:val="24"/>
              </w:rPr>
              <w:t xml:space="preserve">iki </w:t>
            </w:r>
            <w:r w:rsidR="009B7ECD">
              <w:rPr>
                <w:color w:val="000000"/>
                <w:kern w:val="2"/>
                <w:szCs w:val="24"/>
              </w:rPr>
              <w:t xml:space="preserve">visiško prievolių </w:t>
            </w:r>
            <w:r>
              <w:rPr>
                <w:color w:val="000000"/>
                <w:kern w:val="2"/>
                <w:szCs w:val="24"/>
              </w:rPr>
              <w:t>įvykdymo</w:t>
            </w:r>
            <w:r w:rsidR="007174E7">
              <w:rPr>
                <w:color w:val="000000"/>
                <w:kern w:val="2"/>
                <w:szCs w:val="24"/>
              </w:rPr>
              <w:t>,</w:t>
            </w:r>
            <w:r w:rsidR="00DA43AC">
              <w:rPr>
                <w:color w:val="000000"/>
                <w:kern w:val="2"/>
                <w:szCs w:val="24"/>
              </w:rPr>
              <w:t xml:space="preserve"> </w:t>
            </w:r>
            <w:r w:rsidR="007174E7" w:rsidRPr="00EB62B0">
              <w:rPr>
                <w:kern w:val="2"/>
                <w:szCs w:val="24"/>
              </w:rPr>
              <w:t xml:space="preserve">išskyrus </w:t>
            </w:r>
            <w:r w:rsidR="00AF4C1F">
              <w:rPr>
                <w:kern w:val="2"/>
                <w:szCs w:val="24"/>
              </w:rPr>
              <w:t>Tiekėjo</w:t>
            </w:r>
            <w:r w:rsidR="007174E7" w:rsidRPr="00EB62B0">
              <w:rPr>
                <w:kern w:val="2"/>
                <w:szCs w:val="24"/>
              </w:rPr>
              <w:t xml:space="preserve"> įsipareigojimus, susijusius su prekių garantiniu aptarnavimu</w:t>
            </w:r>
            <w:r w:rsidR="007174E7" w:rsidRPr="00242DF7">
              <w:rPr>
                <w:kern w:val="2"/>
                <w:szCs w:val="24"/>
              </w:rPr>
              <w:t>.</w:t>
            </w:r>
          </w:p>
          <w:p w14:paraId="6E690170" w14:textId="3834BF9F" w:rsidR="009A411B" w:rsidRPr="00EB62B0" w:rsidRDefault="007174E7" w:rsidP="007174E7">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w:t>
            </w:r>
            <w:r>
              <w:rPr>
                <w:bCs/>
                <w:color w:val="000000"/>
                <w:kern w:val="2"/>
                <w:szCs w:val="24"/>
              </w:rPr>
              <w:t>ės</w:t>
            </w:r>
            <w:r w:rsidRPr="008804B9">
              <w:rPr>
                <w:bCs/>
                <w:color w:val="000000"/>
                <w:kern w:val="2"/>
                <w:szCs w:val="24"/>
              </w:rPr>
              <w:t xml:space="preserve"> garantinį laikotarpį</w:t>
            </w:r>
            <w:r w:rsidRPr="008804B9">
              <w:rPr>
                <w:bCs/>
                <w:kern w:val="2"/>
                <w:szCs w:val="24"/>
              </w:rPr>
              <w:t>.</w:t>
            </w:r>
          </w:p>
        </w:tc>
      </w:tr>
      <w:tr w:rsidR="009A411B" w14:paraId="1CD0AD3D" w14:textId="77777777" w:rsidTr="00A14157">
        <w:trPr>
          <w:trHeight w:val="300"/>
        </w:trPr>
        <w:tc>
          <w:tcPr>
            <w:tcW w:w="2704" w:type="dxa"/>
            <w:gridSpan w:val="2"/>
          </w:tcPr>
          <w:p w14:paraId="528F73A6" w14:textId="3623C3D8" w:rsidR="009A411B" w:rsidRPr="00E61731" w:rsidRDefault="009A411B"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9A411B" w:rsidRDefault="009A411B" w:rsidP="00A14157">
            <w:pPr>
              <w:rPr>
                <w:kern w:val="2"/>
                <w:szCs w:val="24"/>
              </w:rPr>
            </w:pPr>
            <w:r>
              <w:rPr>
                <w:kern w:val="2"/>
                <w:szCs w:val="24"/>
              </w:rPr>
              <w:t>Netaikoma</w:t>
            </w:r>
          </w:p>
        </w:tc>
      </w:tr>
      <w:tr w:rsidR="009A411B" w14:paraId="76A85FAE" w14:textId="77777777" w:rsidTr="00A14157">
        <w:trPr>
          <w:trHeight w:val="300"/>
        </w:trPr>
        <w:tc>
          <w:tcPr>
            <w:tcW w:w="9535" w:type="dxa"/>
            <w:gridSpan w:val="4"/>
          </w:tcPr>
          <w:p w14:paraId="0C92CBFD" w14:textId="5FB3BECD" w:rsidR="009A411B" w:rsidRDefault="009A411B" w:rsidP="00877316">
            <w:pPr>
              <w:jc w:val="center"/>
              <w:rPr>
                <w:b/>
                <w:bCs/>
                <w:kern w:val="2"/>
                <w:szCs w:val="24"/>
              </w:rPr>
            </w:pPr>
            <w:r w:rsidRPr="00E61731">
              <w:rPr>
                <w:b/>
                <w:bCs/>
                <w:kern w:val="2"/>
                <w:szCs w:val="24"/>
              </w:rPr>
              <w:t>12. SUTARTIES NUTRAUKIMAS</w:t>
            </w:r>
          </w:p>
        </w:tc>
      </w:tr>
      <w:tr w:rsidR="009A411B" w14:paraId="4305688A" w14:textId="77777777" w:rsidTr="00A14157">
        <w:trPr>
          <w:trHeight w:val="300"/>
        </w:trPr>
        <w:tc>
          <w:tcPr>
            <w:tcW w:w="2689" w:type="dxa"/>
          </w:tcPr>
          <w:p w14:paraId="346B8DF3" w14:textId="0B01E69C" w:rsidR="009A411B" w:rsidRPr="00E61731" w:rsidRDefault="009A411B"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9A411B" w:rsidRPr="00E61731" w:rsidRDefault="009A411B" w:rsidP="00C16BB6">
            <w:pPr>
              <w:jc w:val="both"/>
              <w:rPr>
                <w:kern w:val="2"/>
                <w:szCs w:val="24"/>
              </w:rPr>
            </w:pPr>
            <w:r w:rsidRPr="00E61731">
              <w:rPr>
                <w:kern w:val="2"/>
                <w:szCs w:val="24"/>
              </w:rPr>
              <w:t>Sutartis gali būti nutraukiama rašytiniu Šalių susitarimu arba vienašališkai, Bendrosiose sąlygose nustatyta tvarka.</w:t>
            </w:r>
          </w:p>
          <w:p w14:paraId="0A60EA33" w14:textId="77777777" w:rsidR="009A411B" w:rsidRPr="00E61731" w:rsidRDefault="009A411B" w:rsidP="00A14157">
            <w:pPr>
              <w:rPr>
                <w:kern w:val="2"/>
                <w:szCs w:val="24"/>
              </w:rPr>
            </w:pPr>
          </w:p>
        </w:tc>
      </w:tr>
      <w:tr w:rsidR="009A411B" w14:paraId="64B8404E" w14:textId="77777777" w:rsidTr="00A14157">
        <w:trPr>
          <w:trHeight w:val="300"/>
        </w:trPr>
        <w:tc>
          <w:tcPr>
            <w:tcW w:w="2689" w:type="dxa"/>
          </w:tcPr>
          <w:p w14:paraId="418850F2" w14:textId="0C36D872" w:rsidR="009A411B" w:rsidRPr="00E61731" w:rsidRDefault="009A411B" w:rsidP="00A14157">
            <w:pPr>
              <w:rPr>
                <w:b/>
                <w:bCs/>
                <w:kern w:val="2"/>
                <w:szCs w:val="24"/>
              </w:rPr>
            </w:pPr>
            <w:r w:rsidRPr="00E61731">
              <w:rPr>
                <w:b/>
                <w:bCs/>
                <w:kern w:val="2"/>
                <w:szCs w:val="24"/>
              </w:rPr>
              <w:t>12.2. Esminiai Sutarties pažeidimai</w:t>
            </w:r>
          </w:p>
          <w:p w14:paraId="25963373" w14:textId="77777777" w:rsidR="009A411B" w:rsidRPr="00E61731" w:rsidRDefault="009A411B" w:rsidP="00A14157">
            <w:pPr>
              <w:rPr>
                <w:b/>
                <w:bCs/>
                <w:kern w:val="2"/>
                <w:szCs w:val="24"/>
              </w:rPr>
            </w:pPr>
          </w:p>
        </w:tc>
        <w:tc>
          <w:tcPr>
            <w:tcW w:w="6846" w:type="dxa"/>
            <w:gridSpan w:val="3"/>
          </w:tcPr>
          <w:p w14:paraId="5D6C6619" w14:textId="23EE652E" w:rsidR="009A411B" w:rsidRPr="00E61731" w:rsidRDefault="009A411B"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jeigu Tiekėjas pažeidžia </w:t>
            </w:r>
            <w:r w:rsidRPr="002E3AE0">
              <w:rPr>
                <w:rFonts w:eastAsia="Arial"/>
                <w:kern w:val="2"/>
                <w:szCs w:val="24"/>
                <w:lang w:val="lt"/>
              </w:rPr>
              <w:t>Prek</w:t>
            </w:r>
            <w:r w:rsidR="00366AE8">
              <w:rPr>
                <w:rFonts w:eastAsia="Arial"/>
                <w:kern w:val="2"/>
                <w:szCs w:val="24"/>
                <w:lang w:val="lt"/>
              </w:rPr>
              <w:t>ės</w:t>
            </w:r>
            <w:r w:rsidRPr="002E3AE0">
              <w:rPr>
                <w:rFonts w:eastAsia="Arial"/>
                <w:kern w:val="2"/>
                <w:szCs w:val="24"/>
                <w:lang w:val="lt"/>
              </w:rPr>
              <w:t xml:space="preserve"> pristatymo</w:t>
            </w:r>
            <w:r w:rsidR="002E3AE0">
              <w:rPr>
                <w:rFonts w:eastAsia="Arial"/>
                <w:kern w:val="2"/>
                <w:szCs w:val="24"/>
                <w:lang w:val="lt"/>
              </w:rPr>
              <w:t xml:space="preserve"> </w:t>
            </w:r>
            <w:r w:rsidRPr="00E61731">
              <w:rPr>
                <w:rFonts w:eastAsia="Arial"/>
                <w:kern w:val="2"/>
                <w:szCs w:val="24"/>
                <w:lang w:val="lt"/>
              </w:rPr>
              <w:t>terminus ir priskaičiuotų netesybų už vėlavimą suma viršija 10 (dešimt) proc. Pradinės sutarties vertės;</w:t>
            </w:r>
          </w:p>
          <w:p w14:paraId="1F280BCB" w14:textId="77777777" w:rsidR="009A411B" w:rsidRDefault="009A411B" w:rsidP="00366AE8">
            <w:pPr>
              <w:spacing w:line="257" w:lineRule="auto"/>
              <w:jc w:val="both"/>
              <w:rPr>
                <w:rFonts w:eastAsia="Arial"/>
                <w:kern w:val="2"/>
                <w:szCs w:val="24"/>
                <w:lang w:val="lt"/>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w:t>
            </w:r>
            <w:r w:rsidR="00366AE8">
              <w:rPr>
                <w:rFonts w:eastAsia="Arial"/>
                <w:kern w:val="2"/>
                <w:szCs w:val="24"/>
                <w:lang w:val="lt"/>
              </w:rPr>
              <w:t>ės</w:t>
            </w:r>
            <w:r w:rsidRPr="00E61731">
              <w:rPr>
                <w:rFonts w:eastAsia="Arial"/>
                <w:kern w:val="2"/>
                <w:szCs w:val="24"/>
                <w:lang w:val="lt"/>
              </w:rPr>
              <w:t xml:space="preserve"> pristatymo terminui, daugiau kaip 2 (du) kartus pristato Prek</w:t>
            </w:r>
            <w:r w:rsidR="00366AE8">
              <w:rPr>
                <w:rFonts w:eastAsia="Arial"/>
                <w:kern w:val="2"/>
                <w:szCs w:val="24"/>
                <w:lang w:val="lt"/>
              </w:rPr>
              <w:t>ę</w:t>
            </w:r>
            <w:r w:rsidRPr="00E61731">
              <w:rPr>
                <w:rFonts w:eastAsia="Arial"/>
                <w:kern w:val="2"/>
                <w:szCs w:val="24"/>
                <w:lang w:val="lt"/>
              </w:rPr>
              <w:t>, kuri neatitinka Sutartyje ir (ar) Įstatymuose nustatytų reikalavimų Prekėms.</w:t>
            </w:r>
          </w:p>
          <w:p w14:paraId="2295B7C8" w14:textId="24528011" w:rsidR="00F22842" w:rsidRPr="00E61731" w:rsidRDefault="00F22842" w:rsidP="00366AE8">
            <w:pPr>
              <w:spacing w:line="257" w:lineRule="auto"/>
              <w:jc w:val="both"/>
              <w:rPr>
                <w:rFonts w:eastAsia="Arial"/>
                <w:kern w:val="2"/>
                <w:szCs w:val="24"/>
              </w:rPr>
            </w:pPr>
          </w:p>
        </w:tc>
      </w:tr>
      <w:tr w:rsidR="009A411B" w14:paraId="78185BD4" w14:textId="77777777" w:rsidTr="00A14157">
        <w:trPr>
          <w:trHeight w:val="300"/>
        </w:trPr>
        <w:tc>
          <w:tcPr>
            <w:tcW w:w="9535" w:type="dxa"/>
            <w:gridSpan w:val="4"/>
          </w:tcPr>
          <w:p w14:paraId="0B87E993" w14:textId="4D8FCBC7" w:rsidR="009A411B" w:rsidRPr="00E61731" w:rsidRDefault="009A411B"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9A411B" w14:paraId="19E8F80C" w14:textId="77777777" w:rsidTr="00A14157">
        <w:trPr>
          <w:trHeight w:val="300"/>
        </w:trPr>
        <w:tc>
          <w:tcPr>
            <w:tcW w:w="2689" w:type="dxa"/>
          </w:tcPr>
          <w:p w14:paraId="5987D364" w14:textId="2DA5B6B2" w:rsidR="009A411B" w:rsidRPr="00E61731" w:rsidRDefault="009A411B"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B0C99AA" w:rsidR="009A411B" w:rsidRPr="00265241" w:rsidRDefault="009A411B" w:rsidP="00265241">
            <w:pPr>
              <w:jc w:val="both"/>
              <w:rPr>
                <w:kern w:val="2"/>
                <w:szCs w:val="24"/>
              </w:rPr>
            </w:pPr>
            <w:r w:rsidRPr="00265241">
              <w:rPr>
                <w:kern w:val="2"/>
                <w:szCs w:val="24"/>
                <w:shd w:val="clear" w:color="auto" w:fill="FFFFFF"/>
              </w:rPr>
              <w:t>13.1.1. Aplinkosauginiai kriterijai Prekėms</w:t>
            </w:r>
            <w:r w:rsidR="00C16BB6">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 xml:space="preserve">Aplinkos apsaugos kriterijų taikymo, vykdant žaliuosius pirkimus, tvarkos aprašo, patvirtinto Lietuvos </w:t>
            </w:r>
            <w:r w:rsidRPr="00265241">
              <w:rPr>
                <w:kern w:val="2"/>
                <w:szCs w:val="24"/>
              </w:rPr>
              <w:lastRenderedPageBreak/>
              <w:t>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C16BB6">
              <w:rPr>
                <w:kern w:val="2"/>
                <w:szCs w:val="24"/>
                <w:shd w:val="clear" w:color="auto" w:fill="FFFFFF"/>
              </w:rPr>
              <w:t xml:space="preserve"> papunkčiu</w:t>
            </w:r>
            <w:r w:rsidRPr="00265241">
              <w:rPr>
                <w:kern w:val="2"/>
                <w:szCs w:val="24"/>
                <w:shd w:val="clear" w:color="auto" w:fill="FFFFFF"/>
              </w:rPr>
              <w:t>.</w:t>
            </w:r>
            <w:r w:rsidRPr="00265241">
              <w:rPr>
                <w:kern w:val="2"/>
                <w:szCs w:val="24"/>
              </w:rPr>
              <w:t> </w:t>
            </w:r>
          </w:p>
          <w:p w14:paraId="3DB2A987" w14:textId="49F60F51" w:rsidR="009A411B" w:rsidRPr="00265241" w:rsidRDefault="009A411B"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w:t>
            </w:r>
            <w:r w:rsidR="00C16BB6">
              <w:rPr>
                <w:kern w:val="2"/>
                <w:szCs w:val="24"/>
                <w:shd w:val="clear" w:color="auto" w:fill="FFFFFF"/>
              </w:rPr>
              <w:t>Prekių</w:t>
            </w:r>
            <w:r w:rsidRPr="00265241">
              <w:rPr>
                <w:kern w:val="2"/>
                <w:szCs w:val="24"/>
                <w:shd w:val="clear" w:color="auto" w:fill="FFFFFF"/>
              </w:rPr>
              <w:t xml:space="preserve"> pakuotės Tiekėjui grąžinamos iš karto po </w:t>
            </w:r>
            <w:r w:rsidR="00DB0BE6">
              <w:rPr>
                <w:kern w:val="2"/>
                <w:szCs w:val="24"/>
                <w:shd w:val="clear" w:color="auto" w:fill="FFFFFF"/>
              </w:rPr>
              <w:t>Prekių</w:t>
            </w:r>
            <w:r w:rsidRPr="00265241">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DB0BE6">
              <w:rPr>
                <w:kern w:val="2"/>
                <w:szCs w:val="24"/>
                <w:shd w:val="clear" w:color="auto" w:fill="FFFFFF"/>
              </w:rPr>
              <w:t>Prekių</w:t>
            </w:r>
            <w:r w:rsidRPr="00265241">
              <w:rPr>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9A411B" w:rsidRPr="00265241" w:rsidRDefault="009A411B" w:rsidP="00265241">
            <w:pPr>
              <w:jc w:val="both"/>
              <w:rPr>
                <w:kern w:val="2"/>
                <w:szCs w:val="24"/>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BB08CA1" w14:textId="7846BB3A" w:rsidR="009A411B" w:rsidRPr="00265241" w:rsidRDefault="009A411B"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9A411B" w:rsidRPr="00265241" w:rsidRDefault="009A411B" w:rsidP="00265241">
            <w:pPr>
              <w:jc w:val="both"/>
              <w:rPr>
                <w:b/>
                <w:bCs/>
                <w:kern w:val="2"/>
                <w:szCs w:val="24"/>
              </w:rPr>
            </w:pPr>
          </w:p>
        </w:tc>
      </w:tr>
      <w:tr w:rsidR="009A411B" w14:paraId="599FACE0" w14:textId="77777777" w:rsidTr="00A14157">
        <w:trPr>
          <w:trHeight w:val="300"/>
        </w:trPr>
        <w:tc>
          <w:tcPr>
            <w:tcW w:w="2689" w:type="dxa"/>
          </w:tcPr>
          <w:p w14:paraId="1980AE77" w14:textId="2F4BE202" w:rsidR="009A411B" w:rsidRPr="00EB62B0" w:rsidRDefault="009A411B"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9A411B" w:rsidRPr="00EB62B0" w:rsidRDefault="00F90D2E" w:rsidP="00A14157">
            <w:pPr>
              <w:jc w:val="both"/>
              <w:rPr>
                <w:color w:val="008080"/>
                <w:szCs w:val="24"/>
                <w:highlight w:val="yellow"/>
              </w:rPr>
            </w:pPr>
            <w:r w:rsidRPr="00F90D2E">
              <w:rPr>
                <w:szCs w:val="24"/>
              </w:rPr>
              <w:t>Netaikoma</w:t>
            </w:r>
          </w:p>
        </w:tc>
      </w:tr>
      <w:tr w:rsidR="009A411B" w14:paraId="54D8B614" w14:textId="77777777" w:rsidTr="00A14157">
        <w:trPr>
          <w:trHeight w:val="300"/>
        </w:trPr>
        <w:tc>
          <w:tcPr>
            <w:tcW w:w="9535" w:type="dxa"/>
            <w:gridSpan w:val="4"/>
          </w:tcPr>
          <w:p w14:paraId="68BB1E4D" w14:textId="6FD6387E" w:rsidR="009A411B" w:rsidRPr="00B37E66" w:rsidRDefault="009A411B" w:rsidP="00A14157">
            <w:pPr>
              <w:jc w:val="center"/>
              <w:rPr>
                <w:b/>
                <w:bCs/>
                <w:kern w:val="2"/>
                <w:szCs w:val="24"/>
              </w:rPr>
            </w:pPr>
            <w:r w:rsidRPr="00B37E66">
              <w:rPr>
                <w:b/>
                <w:bCs/>
                <w:kern w:val="2"/>
                <w:szCs w:val="24"/>
              </w:rPr>
              <w:t xml:space="preserve">14. BENDRŲJŲ SĄLYGŲ PAKEITIMAI IR PAPILDYMAI </w:t>
            </w:r>
          </w:p>
          <w:p w14:paraId="6D8650DA" w14:textId="77777777" w:rsidR="009A411B" w:rsidRPr="00B37E66" w:rsidRDefault="009A411B" w:rsidP="00A14157">
            <w:pPr>
              <w:jc w:val="center"/>
              <w:rPr>
                <w:kern w:val="2"/>
                <w:szCs w:val="24"/>
              </w:rPr>
            </w:pPr>
            <w:r w:rsidRPr="00B37E66">
              <w:rPr>
                <w:kern w:val="2"/>
                <w:szCs w:val="24"/>
              </w:rPr>
              <w:t xml:space="preserve">(jeigu būtina dėl konkretaus Sutarties dalyko specifikos) </w:t>
            </w:r>
          </w:p>
        </w:tc>
      </w:tr>
      <w:tr w:rsidR="009A411B" w14:paraId="40916F85" w14:textId="77777777" w:rsidTr="00A14157">
        <w:trPr>
          <w:trHeight w:val="300"/>
        </w:trPr>
        <w:tc>
          <w:tcPr>
            <w:tcW w:w="2689" w:type="dxa"/>
          </w:tcPr>
          <w:p w14:paraId="18CDF2E9" w14:textId="6B223254" w:rsidR="009A411B" w:rsidRPr="00B37E66" w:rsidRDefault="009A411B"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9A411B" w:rsidRDefault="009A411B"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409B6C7" w14:textId="77777777" w:rsidR="004711B5" w:rsidRDefault="004711B5" w:rsidP="00A14157">
            <w:pPr>
              <w:jc w:val="both"/>
              <w:rPr>
                <w:kern w:val="2"/>
                <w:szCs w:val="24"/>
              </w:rPr>
            </w:pPr>
          </w:p>
          <w:p w14:paraId="42B69EA7" w14:textId="77777777" w:rsidR="004711B5" w:rsidRPr="00AD4498" w:rsidRDefault="004711B5" w:rsidP="004711B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3B5C45D" w14:textId="77777777" w:rsidR="004711B5" w:rsidRPr="00AD4498" w:rsidRDefault="004711B5" w:rsidP="00A14157">
            <w:pPr>
              <w:jc w:val="both"/>
              <w:rPr>
                <w:kern w:val="2"/>
                <w:szCs w:val="24"/>
              </w:rPr>
            </w:pPr>
          </w:p>
          <w:p w14:paraId="6B792271" w14:textId="77777777" w:rsidR="00FE169D" w:rsidRDefault="00FE169D" w:rsidP="00FE169D">
            <w:pPr>
              <w:jc w:val="both"/>
              <w:rPr>
                <w:rFonts w:eastAsia="Arial"/>
                <w:szCs w:val="24"/>
              </w:rPr>
            </w:pPr>
            <w:r w:rsidRPr="00AD4498">
              <w:rPr>
                <w:rFonts w:eastAsia="Arial"/>
                <w:szCs w:val="24"/>
              </w:rPr>
              <w:lastRenderedPageBreak/>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53D42A" w14:textId="77777777" w:rsidR="0015207E" w:rsidRPr="00AD4498" w:rsidRDefault="0015207E" w:rsidP="00FE169D">
            <w:pPr>
              <w:jc w:val="both"/>
              <w:rPr>
                <w:rFonts w:eastAsia="Arial"/>
                <w:szCs w:val="24"/>
              </w:rPr>
            </w:pPr>
          </w:p>
          <w:p w14:paraId="56FF0B59" w14:textId="2C5147FB" w:rsidR="009A411B" w:rsidRDefault="009A411B" w:rsidP="006A1F7F">
            <w:pPr>
              <w:jc w:val="both"/>
              <w:rPr>
                <w:rFonts w:eastAsia="Arial"/>
                <w:szCs w:val="24"/>
              </w:rPr>
            </w:pPr>
            <w:r w:rsidRPr="00AD4498">
              <w:rPr>
                <w:rFonts w:eastAsia="Arial"/>
                <w:szCs w:val="24"/>
              </w:rPr>
              <w:t>11.3. Laikoma, kad į Sutarties kainą yra įtrauktos visos Tiekėjo išlaidos, susijusios su visų Prekių pristatymu</w:t>
            </w:r>
            <w:r w:rsidR="00FE169D">
              <w:rPr>
                <w:rFonts w:eastAsia="Arial"/>
                <w:szCs w:val="24"/>
              </w:rPr>
              <w:t>:</w:t>
            </w:r>
            <w:r w:rsidRPr="00AD4498">
              <w:rPr>
                <w:rFonts w:eastAsia="Arial"/>
                <w:szCs w:val="24"/>
              </w:rPr>
              <w:t xml:space="preserve"> transportavimo, pakavimo, pakrovimo, tranzito, iškrovimo, įnešimo, išpakavimo, tikrinimo; pristatytų Prekių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Pr>
                <w:rFonts w:eastAsia="Arial"/>
                <w:szCs w:val="24"/>
              </w:rPr>
              <w:t xml:space="preserve">Įrangos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p w14:paraId="418258B2" w14:textId="616C2F91" w:rsidR="0015207E" w:rsidRPr="00AD4498" w:rsidRDefault="0015207E" w:rsidP="006A1F7F">
            <w:pPr>
              <w:jc w:val="both"/>
              <w:rPr>
                <w:kern w:val="2"/>
                <w:szCs w:val="24"/>
              </w:rPr>
            </w:pPr>
          </w:p>
        </w:tc>
      </w:tr>
      <w:tr w:rsidR="009A411B" w14:paraId="1CFFCEFA" w14:textId="77777777" w:rsidTr="00A14157">
        <w:trPr>
          <w:trHeight w:val="300"/>
        </w:trPr>
        <w:tc>
          <w:tcPr>
            <w:tcW w:w="2689" w:type="dxa"/>
          </w:tcPr>
          <w:p w14:paraId="26700667" w14:textId="6A7844CB" w:rsidR="009A411B" w:rsidRPr="00B37E66" w:rsidRDefault="009A411B" w:rsidP="00E00261">
            <w:pPr>
              <w:rPr>
                <w:b/>
                <w:bCs/>
                <w:kern w:val="2"/>
                <w:szCs w:val="24"/>
              </w:rPr>
            </w:pPr>
            <w:r w:rsidRPr="00B37E66">
              <w:rPr>
                <w:b/>
                <w:bCs/>
                <w:kern w:val="2"/>
                <w:szCs w:val="24"/>
              </w:rPr>
              <w:lastRenderedPageBreak/>
              <w:t>14.2.</w:t>
            </w:r>
          </w:p>
        </w:tc>
        <w:tc>
          <w:tcPr>
            <w:tcW w:w="6846" w:type="dxa"/>
            <w:gridSpan w:val="3"/>
          </w:tcPr>
          <w:p w14:paraId="21283535" w14:textId="39EA026F" w:rsidR="00D80F9C" w:rsidRDefault="009A411B" w:rsidP="00E0168C">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33B99BF" w14:textId="77777777" w:rsidR="004711B5" w:rsidRDefault="004711B5" w:rsidP="00E0168C">
            <w:pPr>
              <w:rPr>
                <w:kern w:val="2"/>
                <w:szCs w:val="24"/>
              </w:rPr>
            </w:pPr>
          </w:p>
          <w:p w14:paraId="50861CFC" w14:textId="4412DF44" w:rsidR="004711B5" w:rsidRDefault="004711B5" w:rsidP="00E0168C">
            <w:pPr>
              <w:rPr>
                <w:kern w:val="2"/>
                <w:szCs w:val="24"/>
              </w:rPr>
            </w:pPr>
            <w:r>
              <w:rPr>
                <w:kern w:val="2"/>
                <w:szCs w:val="24"/>
              </w:rPr>
              <w:t>6.2.3.2. punktą;</w:t>
            </w:r>
          </w:p>
          <w:p w14:paraId="72F13B0A" w14:textId="77777777" w:rsidR="004711B5" w:rsidRDefault="004711B5" w:rsidP="00E0168C">
            <w:pPr>
              <w:rPr>
                <w:szCs w:val="24"/>
              </w:rPr>
            </w:pPr>
          </w:p>
          <w:p w14:paraId="230C06E0" w14:textId="1F708AAE" w:rsidR="004711B5" w:rsidRDefault="004711B5" w:rsidP="00E0168C">
            <w:pPr>
              <w:rPr>
                <w:szCs w:val="24"/>
              </w:rPr>
            </w:pPr>
            <w:r>
              <w:rPr>
                <w:szCs w:val="24"/>
              </w:rPr>
              <w:t>6.2.6. punktą;</w:t>
            </w:r>
          </w:p>
          <w:p w14:paraId="3B84FDBE" w14:textId="77777777" w:rsidR="004711B5" w:rsidRDefault="004711B5" w:rsidP="00E0168C">
            <w:pPr>
              <w:rPr>
                <w:szCs w:val="24"/>
              </w:rPr>
            </w:pPr>
          </w:p>
          <w:p w14:paraId="2B72EEB0" w14:textId="77777777" w:rsidR="009A411B" w:rsidRDefault="009A411B" w:rsidP="006A1F7F">
            <w:pPr>
              <w:rPr>
                <w:szCs w:val="24"/>
              </w:rPr>
            </w:pPr>
            <w:r>
              <w:rPr>
                <w:szCs w:val="24"/>
              </w:rPr>
              <w:t>21.2.5. punktą.</w:t>
            </w:r>
          </w:p>
          <w:p w14:paraId="1674E19C" w14:textId="4DBBD512" w:rsidR="004711B5" w:rsidRDefault="004711B5" w:rsidP="006A1F7F">
            <w:pPr>
              <w:rPr>
                <w:kern w:val="2"/>
                <w:szCs w:val="24"/>
              </w:rPr>
            </w:pPr>
          </w:p>
        </w:tc>
      </w:tr>
      <w:tr w:rsidR="009A411B" w14:paraId="0D3EEB77" w14:textId="77777777" w:rsidTr="00A14157">
        <w:trPr>
          <w:trHeight w:val="300"/>
        </w:trPr>
        <w:tc>
          <w:tcPr>
            <w:tcW w:w="2689" w:type="dxa"/>
          </w:tcPr>
          <w:p w14:paraId="1CB4143B" w14:textId="78073544" w:rsidR="009A411B" w:rsidRPr="00B37E66" w:rsidRDefault="009A411B" w:rsidP="00E00261">
            <w:pPr>
              <w:rPr>
                <w:b/>
                <w:bCs/>
                <w:kern w:val="2"/>
                <w:szCs w:val="24"/>
              </w:rPr>
            </w:pPr>
            <w:r w:rsidRPr="00B37E66">
              <w:rPr>
                <w:b/>
                <w:bCs/>
                <w:kern w:val="2"/>
                <w:szCs w:val="24"/>
              </w:rPr>
              <w:t>14.3.</w:t>
            </w:r>
          </w:p>
        </w:tc>
        <w:tc>
          <w:tcPr>
            <w:tcW w:w="6846" w:type="dxa"/>
            <w:gridSpan w:val="3"/>
          </w:tcPr>
          <w:p w14:paraId="4378D2E1" w14:textId="1E8DF431" w:rsidR="009A411B" w:rsidRDefault="009A411B"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A411B" w14:paraId="11155530" w14:textId="77777777" w:rsidTr="00A14157">
        <w:trPr>
          <w:trHeight w:val="300"/>
        </w:trPr>
        <w:tc>
          <w:tcPr>
            <w:tcW w:w="9535" w:type="dxa"/>
            <w:gridSpan w:val="4"/>
          </w:tcPr>
          <w:p w14:paraId="54B078C1" w14:textId="537BC821" w:rsidR="009A411B" w:rsidRPr="00155F60" w:rsidRDefault="009A411B" w:rsidP="004638E0">
            <w:pPr>
              <w:jc w:val="center"/>
              <w:rPr>
                <w:b/>
                <w:bCs/>
                <w:kern w:val="2"/>
                <w:szCs w:val="24"/>
              </w:rPr>
            </w:pPr>
            <w:r w:rsidRPr="00155F60">
              <w:rPr>
                <w:b/>
                <w:bCs/>
                <w:kern w:val="2"/>
                <w:szCs w:val="24"/>
              </w:rPr>
              <w:t>15. SUTARTIES PRIEDAI</w:t>
            </w:r>
          </w:p>
        </w:tc>
      </w:tr>
      <w:tr w:rsidR="009A411B" w14:paraId="3B3A09A5" w14:textId="77777777" w:rsidTr="00A14157">
        <w:trPr>
          <w:trHeight w:val="300"/>
        </w:trPr>
        <w:tc>
          <w:tcPr>
            <w:tcW w:w="2689" w:type="dxa"/>
          </w:tcPr>
          <w:p w14:paraId="7A71DA71" w14:textId="3A10AF89" w:rsidR="009A411B" w:rsidRDefault="009A411B"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9A411B" w:rsidRPr="00155F60" w:rsidRDefault="009A411B" w:rsidP="00A14157">
            <w:pPr>
              <w:rPr>
                <w:b/>
                <w:bCs/>
                <w:kern w:val="2"/>
                <w:szCs w:val="24"/>
              </w:rPr>
            </w:pPr>
            <w:r w:rsidRPr="00155F60">
              <w:rPr>
                <w:kern w:val="2"/>
                <w:szCs w:val="24"/>
              </w:rPr>
              <w:t>Techninė specifikacija ir pasiūlymo kaina</w:t>
            </w:r>
          </w:p>
        </w:tc>
      </w:tr>
      <w:tr w:rsidR="009A411B" w14:paraId="18416BB7" w14:textId="77777777" w:rsidTr="00A14157">
        <w:tc>
          <w:tcPr>
            <w:tcW w:w="9535" w:type="dxa"/>
            <w:gridSpan w:val="4"/>
          </w:tcPr>
          <w:p w14:paraId="3C90C0CE" w14:textId="62E2E2C2" w:rsidR="009A411B" w:rsidRPr="00155F60" w:rsidRDefault="009A411B" w:rsidP="004638E0">
            <w:pPr>
              <w:jc w:val="center"/>
              <w:rPr>
                <w:b/>
                <w:bCs/>
                <w:kern w:val="2"/>
                <w:szCs w:val="24"/>
              </w:rPr>
            </w:pPr>
            <w:r w:rsidRPr="00155F60">
              <w:rPr>
                <w:b/>
                <w:bCs/>
                <w:kern w:val="2"/>
                <w:szCs w:val="24"/>
              </w:rPr>
              <w:t>16. ŠALIŲ ATSTOVŲ PARAŠAI</w:t>
            </w:r>
          </w:p>
        </w:tc>
      </w:tr>
      <w:tr w:rsidR="009A411B" w14:paraId="4DC08BE6" w14:textId="77777777" w:rsidTr="00A14157">
        <w:tc>
          <w:tcPr>
            <w:tcW w:w="4788" w:type="dxa"/>
            <w:gridSpan w:val="3"/>
          </w:tcPr>
          <w:p w14:paraId="20CE0CE5" w14:textId="77777777" w:rsidR="009A411B" w:rsidRDefault="009A411B" w:rsidP="00A14157">
            <w:pPr>
              <w:jc w:val="center"/>
              <w:rPr>
                <w:b/>
                <w:bCs/>
                <w:kern w:val="2"/>
                <w:szCs w:val="24"/>
              </w:rPr>
            </w:pPr>
            <w:r>
              <w:rPr>
                <w:b/>
                <w:bCs/>
                <w:kern w:val="2"/>
                <w:szCs w:val="24"/>
              </w:rPr>
              <w:t>PIRKĖJAS</w:t>
            </w:r>
          </w:p>
        </w:tc>
        <w:tc>
          <w:tcPr>
            <w:tcW w:w="4747" w:type="dxa"/>
          </w:tcPr>
          <w:p w14:paraId="1BD176A0" w14:textId="77777777" w:rsidR="009A411B" w:rsidRDefault="009A411B" w:rsidP="00A14157">
            <w:pPr>
              <w:jc w:val="center"/>
              <w:rPr>
                <w:b/>
                <w:bCs/>
                <w:kern w:val="2"/>
                <w:szCs w:val="24"/>
              </w:rPr>
            </w:pPr>
            <w:r>
              <w:rPr>
                <w:b/>
                <w:bCs/>
                <w:kern w:val="2"/>
                <w:szCs w:val="24"/>
              </w:rPr>
              <w:t>TIEKĖJAS</w:t>
            </w:r>
          </w:p>
        </w:tc>
      </w:tr>
      <w:tr w:rsidR="009A411B" w14:paraId="1D1F867F" w14:textId="77777777" w:rsidTr="00A14157">
        <w:tc>
          <w:tcPr>
            <w:tcW w:w="4788" w:type="dxa"/>
            <w:gridSpan w:val="3"/>
          </w:tcPr>
          <w:p w14:paraId="6EC3E419" w14:textId="77777777" w:rsidR="009A411B" w:rsidRDefault="009A411B"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A411B" w:rsidRDefault="009A411B"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782F20AA" w14:textId="77777777" w:rsidR="00E46C0D" w:rsidRDefault="00E46C0D">
      <w:pPr>
        <w:spacing w:line="259" w:lineRule="auto"/>
        <w:jc w:val="center"/>
        <w:rPr>
          <w:b/>
          <w:caps/>
          <w:szCs w:val="24"/>
        </w:rPr>
      </w:pPr>
    </w:p>
    <w:p w14:paraId="4AACDC99" w14:textId="77777777" w:rsidR="0077267D" w:rsidRDefault="0077267D">
      <w:pPr>
        <w:spacing w:line="259" w:lineRule="auto"/>
        <w:jc w:val="center"/>
        <w:rPr>
          <w:b/>
          <w:caps/>
          <w:szCs w:val="24"/>
        </w:rPr>
      </w:pPr>
    </w:p>
    <w:p w14:paraId="6497B07F" w14:textId="77777777" w:rsidR="0077267D" w:rsidRDefault="0077267D">
      <w:pPr>
        <w:spacing w:line="259" w:lineRule="auto"/>
        <w:jc w:val="center"/>
        <w:rPr>
          <w:b/>
          <w:caps/>
          <w:szCs w:val="24"/>
        </w:rPr>
      </w:pPr>
    </w:p>
    <w:p w14:paraId="2A5AECF4" w14:textId="77777777" w:rsidR="0077267D" w:rsidRDefault="0077267D">
      <w:pPr>
        <w:spacing w:line="259" w:lineRule="auto"/>
        <w:jc w:val="center"/>
        <w:rPr>
          <w:b/>
          <w:caps/>
          <w:szCs w:val="24"/>
        </w:rPr>
      </w:pPr>
    </w:p>
    <w:p w14:paraId="7D4106EE" w14:textId="77777777" w:rsidR="0077267D" w:rsidRDefault="0077267D">
      <w:pPr>
        <w:spacing w:line="259" w:lineRule="auto"/>
        <w:jc w:val="center"/>
        <w:rPr>
          <w:b/>
          <w:caps/>
          <w:szCs w:val="24"/>
        </w:rPr>
      </w:pPr>
      <w:bookmarkStart w:id="0" w:name="_GoBack"/>
      <w:bookmarkEnd w:id="0"/>
    </w:p>
    <w:p w14:paraId="430517B6" w14:textId="77777777" w:rsidR="00E46C0D" w:rsidRDefault="00E46C0D">
      <w:pPr>
        <w:spacing w:line="259" w:lineRule="auto"/>
        <w:jc w:val="center"/>
        <w:rPr>
          <w:b/>
          <w:caps/>
          <w:szCs w:val="24"/>
        </w:rPr>
      </w:pPr>
    </w:p>
    <w:p w14:paraId="356B87FF" w14:textId="77777777" w:rsidR="00E46C0D" w:rsidRDefault="00E46C0D">
      <w:pPr>
        <w:spacing w:line="259" w:lineRule="auto"/>
        <w:jc w:val="center"/>
        <w:rPr>
          <w:b/>
          <w:caps/>
          <w:szCs w:val="24"/>
        </w:rPr>
      </w:pPr>
    </w:p>
    <w:p w14:paraId="794D042B" w14:textId="77777777" w:rsidR="00E46C0D" w:rsidRDefault="00E46C0D">
      <w:pPr>
        <w:spacing w:line="259" w:lineRule="auto"/>
        <w:jc w:val="center"/>
        <w:rPr>
          <w:b/>
          <w:caps/>
          <w:szCs w:val="24"/>
        </w:rPr>
      </w:pPr>
    </w:p>
    <w:p w14:paraId="1AA5F137" w14:textId="77777777" w:rsidR="00E46C0D" w:rsidRDefault="00E46C0D">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6D513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851"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A6BA8" w14:textId="77777777" w:rsidR="00475C8C" w:rsidRDefault="00475C8C">
      <w:r>
        <w:separator/>
      </w:r>
    </w:p>
  </w:endnote>
  <w:endnote w:type="continuationSeparator" w:id="0">
    <w:p w14:paraId="4B8BB62A" w14:textId="77777777" w:rsidR="00475C8C" w:rsidRDefault="0047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77267D" w:rsidRDefault="0077267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77267D" w:rsidRDefault="0077267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77267D" w:rsidRDefault="0077267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33B99" w14:textId="77777777" w:rsidR="00475C8C" w:rsidRDefault="00475C8C">
      <w:r>
        <w:separator/>
      </w:r>
    </w:p>
  </w:footnote>
  <w:footnote w:type="continuationSeparator" w:id="0">
    <w:p w14:paraId="0BB55D8F" w14:textId="77777777" w:rsidR="00475C8C" w:rsidRDefault="00475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77267D" w:rsidRDefault="0077267D">
    <w:pPr>
      <w:tabs>
        <w:tab w:val="center" w:pos="4680"/>
        <w:tab w:val="right" w:pos="9360"/>
      </w:tabs>
      <w:spacing w:after="160" w:line="259" w:lineRule="auto"/>
      <w:rPr>
        <w:kern w:val="2"/>
        <w:sz w:val="22"/>
        <w:szCs w:val="22"/>
        <w:lang w:val="en-US"/>
      </w:rPr>
    </w:pPr>
  </w:p>
  <w:p w14:paraId="2605738A" w14:textId="77777777" w:rsidR="0077267D" w:rsidRDefault="0077267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77267D" w:rsidRPr="00A10867" w:rsidRDefault="0077267D" w:rsidP="00257967">
    <w:pPr>
      <w:tabs>
        <w:tab w:val="center" w:pos="4819"/>
        <w:tab w:val="right" w:pos="9638"/>
      </w:tabs>
      <w:jc w:val="center"/>
    </w:pPr>
    <w:r>
      <w:fldChar w:fldCharType="begin"/>
    </w:r>
    <w:r>
      <w:instrText>PAGE   \* MERGEFORMAT</w:instrText>
    </w:r>
    <w:r>
      <w:fldChar w:fldCharType="separate"/>
    </w:r>
    <w:r w:rsidR="00B30A5D">
      <w:rPr>
        <w:noProof/>
      </w:rPr>
      <w:t>31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77267D" w:rsidRDefault="0077267D">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4BA4"/>
    <w:multiLevelType w:val="multilevel"/>
    <w:tmpl w:val="DBEA1CE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07A43"/>
    <w:rsid w:val="00013192"/>
    <w:rsid w:val="00017571"/>
    <w:rsid w:val="0002211F"/>
    <w:rsid w:val="000250EB"/>
    <w:rsid w:val="0002644C"/>
    <w:rsid w:val="00027700"/>
    <w:rsid w:val="0003072F"/>
    <w:rsid w:val="000309F6"/>
    <w:rsid w:val="00032551"/>
    <w:rsid w:val="00045D17"/>
    <w:rsid w:val="0005643E"/>
    <w:rsid w:val="00060212"/>
    <w:rsid w:val="00070883"/>
    <w:rsid w:val="00077C34"/>
    <w:rsid w:val="00080AEA"/>
    <w:rsid w:val="000860E3"/>
    <w:rsid w:val="00091ECC"/>
    <w:rsid w:val="00094C99"/>
    <w:rsid w:val="00094F98"/>
    <w:rsid w:val="00096C20"/>
    <w:rsid w:val="000A5C4F"/>
    <w:rsid w:val="000A6EF7"/>
    <w:rsid w:val="000B33BF"/>
    <w:rsid w:val="000B37A5"/>
    <w:rsid w:val="000B6C27"/>
    <w:rsid w:val="000B7416"/>
    <w:rsid w:val="000C2A6C"/>
    <w:rsid w:val="000C60F1"/>
    <w:rsid w:val="000D62C7"/>
    <w:rsid w:val="000D72F3"/>
    <w:rsid w:val="000E18BC"/>
    <w:rsid w:val="000E3C87"/>
    <w:rsid w:val="000F4A26"/>
    <w:rsid w:val="000F7F14"/>
    <w:rsid w:val="001051A6"/>
    <w:rsid w:val="001068FC"/>
    <w:rsid w:val="001177FF"/>
    <w:rsid w:val="00122CEA"/>
    <w:rsid w:val="001236D6"/>
    <w:rsid w:val="00124351"/>
    <w:rsid w:val="001255A9"/>
    <w:rsid w:val="00132C18"/>
    <w:rsid w:val="00132DB3"/>
    <w:rsid w:val="00133F17"/>
    <w:rsid w:val="0015207E"/>
    <w:rsid w:val="0015282E"/>
    <w:rsid w:val="00155F60"/>
    <w:rsid w:val="00172CCC"/>
    <w:rsid w:val="00183D2E"/>
    <w:rsid w:val="001910DE"/>
    <w:rsid w:val="00191FE9"/>
    <w:rsid w:val="00192941"/>
    <w:rsid w:val="00193261"/>
    <w:rsid w:val="00194495"/>
    <w:rsid w:val="001A46B6"/>
    <w:rsid w:val="001B1C50"/>
    <w:rsid w:val="001B4A7D"/>
    <w:rsid w:val="001C1675"/>
    <w:rsid w:val="001C2A80"/>
    <w:rsid w:val="001C3300"/>
    <w:rsid w:val="001C38D1"/>
    <w:rsid w:val="001C42BE"/>
    <w:rsid w:val="001C72A3"/>
    <w:rsid w:val="001D011D"/>
    <w:rsid w:val="001E4572"/>
    <w:rsid w:val="001E45FA"/>
    <w:rsid w:val="001F70CB"/>
    <w:rsid w:val="002065DD"/>
    <w:rsid w:val="00210500"/>
    <w:rsid w:val="00217E94"/>
    <w:rsid w:val="002270C9"/>
    <w:rsid w:val="002310C2"/>
    <w:rsid w:val="00234302"/>
    <w:rsid w:val="00234CB6"/>
    <w:rsid w:val="00244BE3"/>
    <w:rsid w:val="00247C58"/>
    <w:rsid w:val="00252C13"/>
    <w:rsid w:val="00257928"/>
    <w:rsid w:val="00257967"/>
    <w:rsid w:val="00262820"/>
    <w:rsid w:val="00265241"/>
    <w:rsid w:val="00272783"/>
    <w:rsid w:val="002766D2"/>
    <w:rsid w:val="002776FC"/>
    <w:rsid w:val="0028380B"/>
    <w:rsid w:val="0029490B"/>
    <w:rsid w:val="00295D6D"/>
    <w:rsid w:val="00296764"/>
    <w:rsid w:val="002A1E25"/>
    <w:rsid w:val="002A1E3A"/>
    <w:rsid w:val="002B362D"/>
    <w:rsid w:val="002B4720"/>
    <w:rsid w:val="002E3AE0"/>
    <w:rsid w:val="002E5007"/>
    <w:rsid w:val="00303337"/>
    <w:rsid w:val="00305347"/>
    <w:rsid w:val="00306F16"/>
    <w:rsid w:val="00315215"/>
    <w:rsid w:val="00330586"/>
    <w:rsid w:val="003340B8"/>
    <w:rsid w:val="0033520E"/>
    <w:rsid w:val="003379D8"/>
    <w:rsid w:val="00337AE7"/>
    <w:rsid w:val="00347512"/>
    <w:rsid w:val="003528D0"/>
    <w:rsid w:val="00360DDC"/>
    <w:rsid w:val="00361F84"/>
    <w:rsid w:val="00362AA7"/>
    <w:rsid w:val="00366AE8"/>
    <w:rsid w:val="00371BE6"/>
    <w:rsid w:val="00371CF0"/>
    <w:rsid w:val="003742CE"/>
    <w:rsid w:val="00377484"/>
    <w:rsid w:val="0037791B"/>
    <w:rsid w:val="00390EDF"/>
    <w:rsid w:val="0039444C"/>
    <w:rsid w:val="003969E1"/>
    <w:rsid w:val="003A0EFE"/>
    <w:rsid w:val="003A7078"/>
    <w:rsid w:val="003C66BC"/>
    <w:rsid w:val="003C7625"/>
    <w:rsid w:val="003D0298"/>
    <w:rsid w:val="003D3864"/>
    <w:rsid w:val="003E0086"/>
    <w:rsid w:val="003E3D32"/>
    <w:rsid w:val="003F3D97"/>
    <w:rsid w:val="004146D0"/>
    <w:rsid w:val="00414C7C"/>
    <w:rsid w:val="004240C1"/>
    <w:rsid w:val="004365AF"/>
    <w:rsid w:val="00440BF9"/>
    <w:rsid w:val="00445CFD"/>
    <w:rsid w:val="0045106A"/>
    <w:rsid w:val="00451B27"/>
    <w:rsid w:val="004569BC"/>
    <w:rsid w:val="00461869"/>
    <w:rsid w:val="004638E0"/>
    <w:rsid w:val="00467C76"/>
    <w:rsid w:val="00470077"/>
    <w:rsid w:val="004711B5"/>
    <w:rsid w:val="00475C8C"/>
    <w:rsid w:val="00477DFC"/>
    <w:rsid w:val="00484496"/>
    <w:rsid w:val="004859D1"/>
    <w:rsid w:val="00491299"/>
    <w:rsid w:val="004A2E84"/>
    <w:rsid w:val="004B48CE"/>
    <w:rsid w:val="004C1948"/>
    <w:rsid w:val="004C4AD4"/>
    <w:rsid w:val="004C4D8F"/>
    <w:rsid w:val="004C60D9"/>
    <w:rsid w:val="004D039C"/>
    <w:rsid w:val="004D136E"/>
    <w:rsid w:val="004D3AE8"/>
    <w:rsid w:val="004D5CF7"/>
    <w:rsid w:val="004D62D1"/>
    <w:rsid w:val="004F7452"/>
    <w:rsid w:val="00501386"/>
    <w:rsid w:val="005075ED"/>
    <w:rsid w:val="00510F06"/>
    <w:rsid w:val="00524B65"/>
    <w:rsid w:val="00530B12"/>
    <w:rsid w:val="005317C9"/>
    <w:rsid w:val="00544236"/>
    <w:rsid w:val="00554B46"/>
    <w:rsid w:val="00555F1C"/>
    <w:rsid w:val="00556832"/>
    <w:rsid w:val="005635AE"/>
    <w:rsid w:val="00563D5A"/>
    <w:rsid w:val="00575819"/>
    <w:rsid w:val="00583D88"/>
    <w:rsid w:val="00585351"/>
    <w:rsid w:val="005A0902"/>
    <w:rsid w:val="005B0EAD"/>
    <w:rsid w:val="005B0F35"/>
    <w:rsid w:val="005B67AD"/>
    <w:rsid w:val="005B7695"/>
    <w:rsid w:val="005C150A"/>
    <w:rsid w:val="005D13F4"/>
    <w:rsid w:val="005D25DB"/>
    <w:rsid w:val="005E4516"/>
    <w:rsid w:val="005E51D2"/>
    <w:rsid w:val="005E7899"/>
    <w:rsid w:val="005F7F82"/>
    <w:rsid w:val="006037B2"/>
    <w:rsid w:val="0060617D"/>
    <w:rsid w:val="006064F8"/>
    <w:rsid w:val="00611E76"/>
    <w:rsid w:val="00630333"/>
    <w:rsid w:val="0063281F"/>
    <w:rsid w:val="00663E32"/>
    <w:rsid w:val="0066626A"/>
    <w:rsid w:val="006708AE"/>
    <w:rsid w:val="006722CE"/>
    <w:rsid w:val="00675A5D"/>
    <w:rsid w:val="00685DCF"/>
    <w:rsid w:val="00695C22"/>
    <w:rsid w:val="006A1F7F"/>
    <w:rsid w:val="006A21B2"/>
    <w:rsid w:val="006B3E98"/>
    <w:rsid w:val="006B41C7"/>
    <w:rsid w:val="006B6F22"/>
    <w:rsid w:val="006C0648"/>
    <w:rsid w:val="006C61DA"/>
    <w:rsid w:val="006C6E35"/>
    <w:rsid w:val="006D1069"/>
    <w:rsid w:val="006D5131"/>
    <w:rsid w:val="006D5998"/>
    <w:rsid w:val="006D6677"/>
    <w:rsid w:val="006E52D2"/>
    <w:rsid w:val="006E6809"/>
    <w:rsid w:val="006F1B1F"/>
    <w:rsid w:val="006F27F0"/>
    <w:rsid w:val="006F5D8C"/>
    <w:rsid w:val="006F727F"/>
    <w:rsid w:val="00716A1E"/>
    <w:rsid w:val="007174E7"/>
    <w:rsid w:val="00720A92"/>
    <w:rsid w:val="0073732A"/>
    <w:rsid w:val="00747731"/>
    <w:rsid w:val="00761097"/>
    <w:rsid w:val="00762B4A"/>
    <w:rsid w:val="0077267D"/>
    <w:rsid w:val="00791736"/>
    <w:rsid w:val="007917A4"/>
    <w:rsid w:val="007A42BC"/>
    <w:rsid w:val="007A51CE"/>
    <w:rsid w:val="007A53C5"/>
    <w:rsid w:val="007B0997"/>
    <w:rsid w:val="007B0EAD"/>
    <w:rsid w:val="007B6F0D"/>
    <w:rsid w:val="007B6F89"/>
    <w:rsid w:val="007D63A4"/>
    <w:rsid w:val="007D6F27"/>
    <w:rsid w:val="007E3427"/>
    <w:rsid w:val="007E7364"/>
    <w:rsid w:val="007F0D61"/>
    <w:rsid w:val="007F6E3E"/>
    <w:rsid w:val="00810317"/>
    <w:rsid w:val="008129F7"/>
    <w:rsid w:val="0081313F"/>
    <w:rsid w:val="0081338D"/>
    <w:rsid w:val="008153C3"/>
    <w:rsid w:val="00832DE2"/>
    <w:rsid w:val="00835DBE"/>
    <w:rsid w:val="008423E4"/>
    <w:rsid w:val="00844154"/>
    <w:rsid w:val="00846D7E"/>
    <w:rsid w:val="00851586"/>
    <w:rsid w:val="00852933"/>
    <w:rsid w:val="00856548"/>
    <w:rsid w:val="00856E13"/>
    <w:rsid w:val="00857388"/>
    <w:rsid w:val="00863352"/>
    <w:rsid w:val="00865E1D"/>
    <w:rsid w:val="00870104"/>
    <w:rsid w:val="0087263F"/>
    <w:rsid w:val="00877316"/>
    <w:rsid w:val="008825A1"/>
    <w:rsid w:val="008A12FB"/>
    <w:rsid w:val="008A3344"/>
    <w:rsid w:val="008A7E82"/>
    <w:rsid w:val="008D0F7F"/>
    <w:rsid w:val="008D1866"/>
    <w:rsid w:val="008D79C3"/>
    <w:rsid w:val="008E0299"/>
    <w:rsid w:val="008F1D8C"/>
    <w:rsid w:val="008F2D91"/>
    <w:rsid w:val="008F7CD0"/>
    <w:rsid w:val="009073E2"/>
    <w:rsid w:val="009269C9"/>
    <w:rsid w:val="009302AF"/>
    <w:rsid w:val="009335E3"/>
    <w:rsid w:val="00941D47"/>
    <w:rsid w:val="00944614"/>
    <w:rsid w:val="009447B7"/>
    <w:rsid w:val="0094719E"/>
    <w:rsid w:val="00947967"/>
    <w:rsid w:val="009632BE"/>
    <w:rsid w:val="0097157F"/>
    <w:rsid w:val="00980982"/>
    <w:rsid w:val="009861C0"/>
    <w:rsid w:val="00994C7E"/>
    <w:rsid w:val="009A2D47"/>
    <w:rsid w:val="009A411B"/>
    <w:rsid w:val="009A4DFD"/>
    <w:rsid w:val="009A763D"/>
    <w:rsid w:val="009B7ECD"/>
    <w:rsid w:val="009C204E"/>
    <w:rsid w:val="009C2F2F"/>
    <w:rsid w:val="009C58E7"/>
    <w:rsid w:val="009F001E"/>
    <w:rsid w:val="00A00F56"/>
    <w:rsid w:val="00A05664"/>
    <w:rsid w:val="00A11C3E"/>
    <w:rsid w:val="00A1367B"/>
    <w:rsid w:val="00A14157"/>
    <w:rsid w:val="00A23B9B"/>
    <w:rsid w:val="00A325FF"/>
    <w:rsid w:val="00A33181"/>
    <w:rsid w:val="00A3455F"/>
    <w:rsid w:val="00A366BB"/>
    <w:rsid w:val="00A37B97"/>
    <w:rsid w:val="00A42AAF"/>
    <w:rsid w:val="00A53D20"/>
    <w:rsid w:val="00A61A53"/>
    <w:rsid w:val="00A64FBA"/>
    <w:rsid w:val="00A724E5"/>
    <w:rsid w:val="00A907AD"/>
    <w:rsid w:val="00AB0217"/>
    <w:rsid w:val="00AB5152"/>
    <w:rsid w:val="00AD1E1B"/>
    <w:rsid w:val="00AD200A"/>
    <w:rsid w:val="00AD4498"/>
    <w:rsid w:val="00AE1102"/>
    <w:rsid w:val="00AE7671"/>
    <w:rsid w:val="00AF2B9F"/>
    <w:rsid w:val="00AF4C1F"/>
    <w:rsid w:val="00B00705"/>
    <w:rsid w:val="00B0158E"/>
    <w:rsid w:val="00B04F5B"/>
    <w:rsid w:val="00B06359"/>
    <w:rsid w:val="00B0745D"/>
    <w:rsid w:val="00B10727"/>
    <w:rsid w:val="00B22250"/>
    <w:rsid w:val="00B24A9C"/>
    <w:rsid w:val="00B24D60"/>
    <w:rsid w:val="00B25255"/>
    <w:rsid w:val="00B26467"/>
    <w:rsid w:val="00B30A5D"/>
    <w:rsid w:val="00B331E6"/>
    <w:rsid w:val="00B378A3"/>
    <w:rsid w:val="00B37E66"/>
    <w:rsid w:val="00B40422"/>
    <w:rsid w:val="00B6709C"/>
    <w:rsid w:val="00B677B0"/>
    <w:rsid w:val="00B7510A"/>
    <w:rsid w:val="00B7526C"/>
    <w:rsid w:val="00B80AAA"/>
    <w:rsid w:val="00B86C48"/>
    <w:rsid w:val="00B92A81"/>
    <w:rsid w:val="00BA5A77"/>
    <w:rsid w:val="00BB1B11"/>
    <w:rsid w:val="00BB3FFA"/>
    <w:rsid w:val="00BC394D"/>
    <w:rsid w:val="00BD6BC3"/>
    <w:rsid w:val="00BD77D0"/>
    <w:rsid w:val="00C15B1D"/>
    <w:rsid w:val="00C16BB6"/>
    <w:rsid w:val="00C16C59"/>
    <w:rsid w:val="00C1797C"/>
    <w:rsid w:val="00C45B5F"/>
    <w:rsid w:val="00C4613A"/>
    <w:rsid w:val="00C51503"/>
    <w:rsid w:val="00C7188A"/>
    <w:rsid w:val="00C73F34"/>
    <w:rsid w:val="00C9402C"/>
    <w:rsid w:val="00C96275"/>
    <w:rsid w:val="00CB2892"/>
    <w:rsid w:val="00CB3F6C"/>
    <w:rsid w:val="00CB4068"/>
    <w:rsid w:val="00CB432F"/>
    <w:rsid w:val="00CD2D2B"/>
    <w:rsid w:val="00CD4B6F"/>
    <w:rsid w:val="00CE3150"/>
    <w:rsid w:val="00CE3A5A"/>
    <w:rsid w:val="00CF1600"/>
    <w:rsid w:val="00D10E78"/>
    <w:rsid w:val="00D1357D"/>
    <w:rsid w:val="00D17324"/>
    <w:rsid w:val="00D20289"/>
    <w:rsid w:val="00D21946"/>
    <w:rsid w:val="00D41DBF"/>
    <w:rsid w:val="00D43907"/>
    <w:rsid w:val="00D45799"/>
    <w:rsid w:val="00D46B0B"/>
    <w:rsid w:val="00D50E2A"/>
    <w:rsid w:val="00D511C0"/>
    <w:rsid w:val="00D51454"/>
    <w:rsid w:val="00D54087"/>
    <w:rsid w:val="00D5648C"/>
    <w:rsid w:val="00D57B3E"/>
    <w:rsid w:val="00D64832"/>
    <w:rsid w:val="00D65156"/>
    <w:rsid w:val="00D67BF4"/>
    <w:rsid w:val="00D72B42"/>
    <w:rsid w:val="00D74A55"/>
    <w:rsid w:val="00D8060E"/>
    <w:rsid w:val="00D80F9C"/>
    <w:rsid w:val="00D911C1"/>
    <w:rsid w:val="00D94658"/>
    <w:rsid w:val="00D9706C"/>
    <w:rsid w:val="00DA11BB"/>
    <w:rsid w:val="00DA325F"/>
    <w:rsid w:val="00DA43AC"/>
    <w:rsid w:val="00DA53C7"/>
    <w:rsid w:val="00DB0BE6"/>
    <w:rsid w:val="00DB2552"/>
    <w:rsid w:val="00DB39F3"/>
    <w:rsid w:val="00DB41C9"/>
    <w:rsid w:val="00DC5309"/>
    <w:rsid w:val="00DC62A1"/>
    <w:rsid w:val="00DD090E"/>
    <w:rsid w:val="00DD6A99"/>
    <w:rsid w:val="00DE02C4"/>
    <w:rsid w:val="00DE5002"/>
    <w:rsid w:val="00DF24AE"/>
    <w:rsid w:val="00DF280F"/>
    <w:rsid w:val="00E00113"/>
    <w:rsid w:val="00E00261"/>
    <w:rsid w:val="00E0168C"/>
    <w:rsid w:val="00E01E01"/>
    <w:rsid w:val="00E0775F"/>
    <w:rsid w:val="00E137B6"/>
    <w:rsid w:val="00E35EE0"/>
    <w:rsid w:val="00E42042"/>
    <w:rsid w:val="00E46C0D"/>
    <w:rsid w:val="00E46D0A"/>
    <w:rsid w:val="00E4747F"/>
    <w:rsid w:val="00E60125"/>
    <w:rsid w:val="00E61731"/>
    <w:rsid w:val="00E641D7"/>
    <w:rsid w:val="00E720CF"/>
    <w:rsid w:val="00E72192"/>
    <w:rsid w:val="00E73109"/>
    <w:rsid w:val="00E91A9C"/>
    <w:rsid w:val="00E941AB"/>
    <w:rsid w:val="00EA0F92"/>
    <w:rsid w:val="00EB0775"/>
    <w:rsid w:val="00EB1D99"/>
    <w:rsid w:val="00EB3094"/>
    <w:rsid w:val="00EB3B93"/>
    <w:rsid w:val="00EB609E"/>
    <w:rsid w:val="00EB62B0"/>
    <w:rsid w:val="00EB6C30"/>
    <w:rsid w:val="00EC4B60"/>
    <w:rsid w:val="00ED199E"/>
    <w:rsid w:val="00EF1F71"/>
    <w:rsid w:val="00EF2A07"/>
    <w:rsid w:val="00EF313E"/>
    <w:rsid w:val="00EF4CFE"/>
    <w:rsid w:val="00F00E3C"/>
    <w:rsid w:val="00F01379"/>
    <w:rsid w:val="00F02DAB"/>
    <w:rsid w:val="00F06A65"/>
    <w:rsid w:val="00F06C68"/>
    <w:rsid w:val="00F07726"/>
    <w:rsid w:val="00F1631A"/>
    <w:rsid w:val="00F22842"/>
    <w:rsid w:val="00F33120"/>
    <w:rsid w:val="00F4582D"/>
    <w:rsid w:val="00F56633"/>
    <w:rsid w:val="00F65A7C"/>
    <w:rsid w:val="00F757AB"/>
    <w:rsid w:val="00F80D71"/>
    <w:rsid w:val="00F90D2E"/>
    <w:rsid w:val="00F91632"/>
    <w:rsid w:val="00F97524"/>
    <w:rsid w:val="00FA27F4"/>
    <w:rsid w:val="00FB30A5"/>
    <w:rsid w:val="00FC10A3"/>
    <w:rsid w:val="00FC288A"/>
    <w:rsid w:val="00FD3EA4"/>
    <w:rsid w:val="00FD4559"/>
    <w:rsid w:val="00FD4FB8"/>
    <w:rsid w:val="00FE0B6B"/>
    <w:rsid w:val="00FE169D"/>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465733E-DA07-4371-A025-4E31BAAE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64515</Words>
  <Characters>36774</Characters>
  <Application>Microsoft Office Word</Application>
  <DocSecurity>0</DocSecurity>
  <Lines>306</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101087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6</cp:revision>
  <cp:lastPrinted>2024-03-12T12:16:00Z</cp:lastPrinted>
  <dcterms:created xsi:type="dcterms:W3CDTF">2025-10-31T10:39:00Z</dcterms:created>
  <dcterms:modified xsi:type="dcterms:W3CDTF">2025-10-31T10:46:00Z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