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64ADFDA" w:rsidR="00163CA6" w:rsidRPr="005F0D7C" w:rsidRDefault="00006D86" w:rsidP="001434F2">
            <w:pPr>
              <w:jc w:val="both"/>
              <w:rPr>
                <w:kern w:val="2"/>
                <w:szCs w:val="24"/>
              </w:rPr>
            </w:pPr>
            <w:r>
              <w:rPr>
                <w:kern w:val="2"/>
                <w:szCs w:val="24"/>
              </w:rPr>
              <w:t>M</w:t>
            </w:r>
            <w:r w:rsidRPr="00006D86">
              <w:rPr>
                <w:kern w:val="2"/>
                <w:szCs w:val="24"/>
              </w:rPr>
              <w:t>edicininė įranga, naujam operacinės blokui (</w:t>
            </w:r>
            <w:r w:rsidR="003B3C84">
              <w:rPr>
                <w:kern w:val="2"/>
                <w:szCs w:val="24"/>
              </w:rPr>
              <w:t>vaizdo endoskopinė</w:t>
            </w:r>
            <w:r w:rsidR="00D22906">
              <w:rPr>
                <w:kern w:val="2"/>
                <w:szCs w:val="24"/>
              </w:rPr>
              <w:t>s</w:t>
            </w:r>
            <w:r w:rsidR="003B3C84">
              <w:rPr>
                <w:kern w:val="2"/>
                <w:szCs w:val="24"/>
              </w:rPr>
              <w:t xml:space="preserve"> sistemos</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277DD1C4"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EB21BC" w:rsidRPr="00EB21BC">
              <w:rPr>
                <w:rFonts w:cstheme="minorBidi"/>
              </w:rPr>
              <w:t>1)</w:t>
            </w:r>
            <w:r w:rsidR="00EB21BC" w:rsidRPr="00EB21BC">
              <w:rPr>
                <w:rFonts w:cstheme="minorBidi"/>
              </w:rPr>
              <w:tab/>
              <w:t xml:space="preserve">Vaizdo endoskopinė sistema su priedais urologijai </w:t>
            </w:r>
            <w:r w:rsidRPr="00B9795A">
              <w:rPr>
                <w:rFonts w:cstheme="minorBidi"/>
              </w:rPr>
              <w:t xml:space="preserve">– </w:t>
            </w:r>
            <w:r w:rsidR="00D128E7" w:rsidRPr="00B9795A">
              <w:rPr>
                <w:rFonts w:cstheme="minorBidi"/>
              </w:rPr>
              <w:t>1</w:t>
            </w:r>
            <w:r w:rsidR="00EB21BC">
              <w:rPr>
                <w:rFonts w:cstheme="minorBidi"/>
              </w:rPr>
              <w:t xml:space="preserve"> </w:t>
            </w:r>
            <w:proofErr w:type="spellStart"/>
            <w:r w:rsidR="00D6544F">
              <w:rPr>
                <w:rFonts w:cstheme="minorBidi"/>
              </w:rPr>
              <w:t>kompl</w:t>
            </w:r>
            <w:proofErr w:type="spellEnd"/>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36BB0866" w:rsidR="0039452D" w:rsidRPr="00B9795A" w:rsidRDefault="0039452D" w:rsidP="001434F2">
            <w:pPr>
              <w:jc w:val="both"/>
              <w:rPr>
                <w:rFonts w:cstheme="minorBidi"/>
              </w:rPr>
            </w:pPr>
            <w:r w:rsidRPr="00B9795A">
              <w:rPr>
                <w:color w:val="FF0000"/>
                <w:kern w:val="2"/>
                <w:szCs w:val="24"/>
              </w:rPr>
              <w:t xml:space="preserve">2 p. o. d. </w:t>
            </w:r>
            <w:r w:rsidR="00003755" w:rsidRPr="00003755">
              <w:rPr>
                <w:iCs/>
                <w:szCs w:val="24"/>
              </w:rPr>
              <w:t>Vaizdo endoskopinė sistema su priedais ginekologijai</w:t>
            </w:r>
            <w:r w:rsidR="00003755" w:rsidRPr="00003755">
              <w:rPr>
                <w:rFonts w:cs="Calibri"/>
                <w:iCs/>
                <w:szCs w:val="24"/>
              </w:rPr>
              <w:t xml:space="preserve"> </w:t>
            </w:r>
            <w:r w:rsidRPr="00B9795A">
              <w:rPr>
                <w:rFonts w:cstheme="minorHAnsi"/>
                <w:iCs/>
                <w:szCs w:val="24"/>
              </w:rPr>
              <w:t xml:space="preserve">– </w:t>
            </w:r>
            <w:r w:rsidR="00003755">
              <w:rPr>
                <w:rFonts w:cstheme="minorHAnsi"/>
                <w:iCs/>
                <w:szCs w:val="24"/>
              </w:rPr>
              <w:t>2</w:t>
            </w:r>
            <w:r w:rsidRPr="00B9795A">
              <w:rPr>
                <w:rFonts w:cstheme="minorHAnsi"/>
                <w:iCs/>
                <w:szCs w:val="24"/>
              </w:rPr>
              <w:t xml:space="preserve"> </w:t>
            </w:r>
            <w:proofErr w:type="spellStart"/>
            <w:r w:rsidR="00D6544F">
              <w:rPr>
                <w:rFonts w:cstheme="minorHAnsi"/>
                <w:iCs/>
                <w:szCs w:val="24"/>
              </w:rPr>
              <w:t>kompl</w:t>
            </w:r>
            <w:proofErr w:type="spellEnd"/>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7E9670E7" w:rsidR="00DE13C0" w:rsidRPr="00B9795A" w:rsidRDefault="00DE13C0" w:rsidP="001434F2">
            <w:pPr>
              <w:jc w:val="both"/>
              <w:rPr>
                <w:rFonts w:cstheme="minorBidi"/>
              </w:rPr>
            </w:pPr>
            <w:r w:rsidRPr="00B9795A">
              <w:rPr>
                <w:color w:val="FF0000"/>
                <w:kern w:val="2"/>
                <w:szCs w:val="24"/>
              </w:rPr>
              <w:t xml:space="preserve">3 p. o. d. </w:t>
            </w:r>
            <w:r w:rsidR="00F913E0" w:rsidRPr="00F913E0">
              <w:rPr>
                <w:rFonts w:cstheme="minorHAnsi"/>
                <w:iCs/>
                <w:szCs w:val="24"/>
              </w:rPr>
              <w:t xml:space="preserve">Vaizdo endoskopinės sistemos su priedais chirurgams </w:t>
            </w:r>
            <w:r w:rsidRPr="00B9795A">
              <w:rPr>
                <w:rFonts w:cstheme="minorHAnsi"/>
                <w:iCs/>
                <w:szCs w:val="24"/>
              </w:rPr>
              <w:t xml:space="preserve">– </w:t>
            </w:r>
            <w:r w:rsidR="00F913E0">
              <w:rPr>
                <w:rFonts w:cstheme="minorHAnsi"/>
                <w:iCs/>
                <w:szCs w:val="24"/>
              </w:rPr>
              <w:t>2</w:t>
            </w:r>
            <w:r w:rsidRPr="00B9795A">
              <w:rPr>
                <w:rFonts w:cstheme="minorHAnsi"/>
                <w:iCs/>
                <w:szCs w:val="24"/>
              </w:rPr>
              <w:t xml:space="preserve"> </w:t>
            </w:r>
            <w:proofErr w:type="spellStart"/>
            <w:r w:rsidR="00D6544F">
              <w:rPr>
                <w:rFonts w:cstheme="minorHAnsi"/>
                <w:iCs/>
                <w:szCs w:val="24"/>
              </w:rPr>
              <w:t>kompl</w:t>
            </w:r>
            <w:proofErr w:type="spellEnd"/>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F913E0">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3FE72CA1" w:rsidR="0039452D" w:rsidRPr="00B9795A" w:rsidRDefault="0039452D" w:rsidP="001434F2">
            <w:pPr>
              <w:jc w:val="both"/>
            </w:pPr>
            <w:r w:rsidRPr="00B9795A">
              <w:t xml:space="preserve">Su </w:t>
            </w:r>
            <w:r w:rsidR="00855BDD" w:rsidRPr="00B9795A">
              <w:t>P</w:t>
            </w:r>
            <w:r w:rsidRPr="00B9795A">
              <w:t xml:space="preserve">rekėmis </w:t>
            </w:r>
            <w:proofErr w:type="spellStart"/>
            <w:r w:rsidRPr="00B9795A">
              <w:t>teiktinų</w:t>
            </w:r>
            <w:proofErr w:type="spellEnd"/>
            <w:r w:rsidRPr="00B9795A">
              <w:t xml:space="preserve">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w:t>
            </w:r>
            <w:proofErr w:type="spellStart"/>
            <w:r w:rsidRPr="000B21A6">
              <w:rPr>
                <w:szCs w:val="24"/>
              </w:rPr>
              <w:t>teiktinas</w:t>
            </w:r>
            <w:proofErr w:type="spellEnd"/>
            <w:r w:rsidRPr="000B21A6">
              <w:rPr>
                <w:szCs w:val="24"/>
              </w:rPr>
              <w:t xml:space="preserve">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716BC0BB" w:rsidR="00163CA6" w:rsidRPr="008E195E" w:rsidRDefault="00575FAB" w:rsidP="001434F2">
            <w:pPr>
              <w:jc w:val="both"/>
              <w:rPr>
                <w:kern w:val="2"/>
                <w:szCs w:val="24"/>
                <w:shd w:val="clear" w:color="auto" w:fill="FFFFFF"/>
              </w:rPr>
            </w:pPr>
            <w:r w:rsidRPr="50C664E5">
              <w:rPr>
                <w:kern w:val="2"/>
                <w:shd w:val="clear" w:color="auto" w:fill="FFFFFF"/>
              </w:rPr>
              <w:lastRenderedPageBreak/>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 xml:space="preserve">mis </w:t>
            </w:r>
            <w:proofErr w:type="spellStart"/>
            <w:r w:rsidR="00BC23A9">
              <w:rPr>
                <w:kern w:val="2"/>
                <w:szCs w:val="24"/>
              </w:rPr>
              <w:t>teiktin</w:t>
            </w:r>
            <w:r w:rsidR="0090026C">
              <w:rPr>
                <w:kern w:val="2"/>
                <w:szCs w:val="24"/>
              </w:rPr>
              <w:t>ų</w:t>
            </w:r>
            <w:proofErr w:type="spellEnd"/>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lastRenderedPageBreak/>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489CBBA2"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0C0232E" w14:textId="75D6D5E6" w:rsidR="00D52D1D" w:rsidRDefault="00822482" w:rsidP="00D52D1D">
            <w:pPr>
              <w:jc w:val="both"/>
              <w:rPr>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w:t>
            </w:r>
            <w:proofErr w:type="spellStart"/>
            <w:r w:rsidRPr="006F633C">
              <w:rPr>
                <w:color w:val="000000"/>
                <w:kern w:val="2"/>
                <w:szCs w:val="24"/>
              </w:rPr>
              <w:t>terminasdienos</w:t>
            </w:r>
            <w:proofErr w:type="spellEnd"/>
            <w:r w:rsidRPr="006F633C">
              <w:rPr>
                <w:color w:val="000000"/>
                <w:kern w:val="2"/>
                <w:szCs w:val="24"/>
              </w:rPr>
              <w:t xml:space="preserve"> Tiekėjui skaičiuoja </w:t>
            </w:r>
            <w:r w:rsidR="00D52D1D" w:rsidRPr="00F96406">
              <w:rPr>
                <w:kern w:val="2"/>
                <w:szCs w:val="24"/>
              </w:rPr>
              <w:t>100,00 Eur (vieno šimto eurų 00 ct) dydžio baudą už kiekvieną</w:t>
            </w:r>
            <w:r w:rsidR="00D52D1D" w:rsidRPr="00160DA0">
              <w:rPr>
                <w:kern w:val="2"/>
                <w:szCs w:val="24"/>
              </w:rPr>
              <w:t xml:space="preserve"> uždelstą</w:t>
            </w:r>
            <w:r w:rsidR="00D52D1D" w:rsidRPr="00870A82">
              <w:rPr>
                <w:kern w:val="2"/>
                <w:szCs w:val="24"/>
              </w:rPr>
              <w:t xml:space="preserve"> </w:t>
            </w:r>
            <w:r w:rsidR="00D52D1D" w:rsidRPr="006A366C">
              <w:rPr>
                <w:kern w:val="2"/>
                <w:szCs w:val="24"/>
              </w:rPr>
              <w:t>dieną.</w:t>
            </w:r>
          </w:p>
          <w:p w14:paraId="558BA30A" w14:textId="707E9C11" w:rsidR="00822482" w:rsidRDefault="00822482" w:rsidP="001434F2">
            <w:pPr>
              <w:jc w:val="both"/>
              <w:rPr>
                <w:color w:val="000000"/>
                <w:kern w:val="2"/>
                <w:szCs w:val="24"/>
              </w:rPr>
            </w:pPr>
            <w:r w:rsidRPr="006F633C">
              <w:rPr>
                <w:color w:val="000000"/>
                <w:kern w:val="2"/>
                <w:szCs w:val="24"/>
              </w:rPr>
              <w:t> </w:t>
            </w:r>
            <w:r w:rsidRPr="004B5D26">
              <w:rPr>
                <w:color w:val="000000"/>
                <w:kern w:val="2"/>
                <w:szCs w:val="24"/>
              </w:rPr>
              <w:t xml:space="preserve"> </w:t>
            </w:r>
          </w:p>
          <w:p w14:paraId="70FAF2D0" w14:textId="4DD8CF64" w:rsidR="00822482" w:rsidRPr="006F633C" w:rsidRDefault="00822482" w:rsidP="001434F2">
            <w:pPr>
              <w:jc w:val="both"/>
              <w:rPr>
                <w:color w:val="000000"/>
                <w:kern w:val="2"/>
                <w:szCs w:val="24"/>
              </w:rPr>
            </w:pPr>
            <w:r w:rsidRPr="006F633C">
              <w:rPr>
                <w:color w:val="000000"/>
                <w:szCs w:val="24"/>
                <w:lang w:val="lt"/>
              </w:rPr>
              <w:t>9.2.</w:t>
            </w:r>
            <w:r w:rsidR="00D52D1D">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11990C78" w:rsidR="00822482" w:rsidRDefault="00822482" w:rsidP="001434F2">
            <w:pPr>
              <w:jc w:val="both"/>
              <w:rPr>
                <w:szCs w:val="24"/>
              </w:rPr>
            </w:pPr>
            <w:r w:rsidRPr="006F633C">
              <w:rPr>
                <w:color w:val="000000"/>
                <w:kern w:val="2"/>
                <w:szCs w:val="24"/>
              </w:rPr>
              <w:t>9.2.</w:t>
            </w:r>
            <w:r w:rsidR="00D52D1D">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780029A" w:rsidR="00822482" w:rsidRPr="006F633C" w:rsidRDefault="00822482" w:rsidP="001434F2">
            <w:pPr>
              <w:jc w:val="both"/>
              <w:rPr>
                <w:b/>
                <w:kern w:val="2"/>
                <w:szCs w:val="24"/>
              </w:rPr>
            </w:pPr>
            <w:r w:rsidRPr="004B5D26">
              <w:rPr>
                <w:bCs/>
                <w:kern w:val="2"/>
                <w:szCs w:val="24"/>
              </w:rPr>
              <w:t>9.2.</w:t>
            </w:r>
            <w:r w:rsidR="00D52D1D">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 xml:space="preserve">Aplinkos apsaugos kriterijų taikymo, vykdant žaliuosius pirkimus, tvarkos aprašo, patvirtinto Lietuvos Respublikos aplinkos ministro 2011  m. </w:t>
            </w:r>
            <w:r w:rsidRPr="00771A56">
              <w:rPr>
                <w:color w:val="000000"/>
                <w:kern w:val="2"/>
                <w:szCs w:val="24"/>
              </w:rPr>
              <w:lastRenderedPageBreak/>
              <w:t>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CC85" w14:textId="77777777" w:rsidR="003377D7" w:rsidRDefault="003377D7">
      <w:pPr>
        <w:rPr>
          <w:kern w:val="2"/>
          <w:sz w:val="22"/>
          <w:szCs w:val="22"/>
          <w:lang w:val="en-US"/>
        </w:rPr>
      </w:pPr>
      <w:r>
        <w:rPr>
          <w:kern w:val="2"/>
          <w:sz w:val="22"/>
          <w:szCs w:val="22"/>
          <w:lang w:val="en-US"/>
        </w:rPr>
        <w:separator/>
      </w:r>
    </w:p>
  </w:endnote>
  <w:endnote w:type="continuationSeparator" w:id="0">
    <w:p w14:paraId="6D437CD4" w14:textId="77777777" w:rsidR="003377D7" w:rsidRDefault="003377D7">
      <w:pPr>
        <w:rPr>
          <w:kern w:val="2"/>
          <w:sz w:val="22"/>
          <w:szCs w:val="22"/>
          <w:lang w:val="en-US"/>
        </w:rPr>
      </w:pPr>
      <w:r>
        <w:rPr>
          <w:kern w:val="2"/>
          <w:sz w:val="22"/>
          <w:szCs w:val="22"/>
          <w:lang w:val="en-US"/>
        </w:rPr>
        <w:continuationSeparator/>
      </w:r>
    </w:p>
  </w:endnote>
  <w:endnote w:type="continuationNotice" w:id="1">
    <w:p w14:paraId="3F5BABE3" w14:textId="77777777" w:rsidR="003377D7" w:rsidRDefault="003377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32F1" w14:textId="77777777" w:rsidR="003377D7" w:rsidRDefault="003377D7">
      <w:pPr>
        <w:rPr>
          <w:kern w:val="2"/>
          <w:sz w:val="22"/>
          <w:szCs w:val="22"/>
          <w:lang w:val="en-US"/>
        </w:rPr>
      </w:pPr>
      <w:r>
        <w:rPr>
          <w:kern w:val="2"/>
          <w:sz w:val="22"/>
          <w:szCs w:val="22"/>
          <w:lang w:val="en-US"/>
        </w:rPr>
        <w:separator/>
      </w:r>
    </w:p>
  </w:footnote>
  <w:footnote w:type="continuationSeparator" w:id="0">
    <w:p w14:paraId="4F2B19BE" w14:textId="77777777" w:rsidR="003377D7" w:rsidRDefault="003377D7">
      <w:pPr>
        <w:rPr>
          <w:kern w:val="2"/>
          <w:sz w:val="22"/>
          <w:szCs w:val="22"/>
          <w:lang w:val="en-US"/>
        </w:rPr>
      </w:pPr>
      <w:r>
        <w:rPr>
          <w:kern w:val="2"/>
          <w:sz w:val="22"/>
          <w:szCs w:val="22"/>
          <w:lang w:val="en-US"/>
        </w:rPr>
        <w:continuationSeparator/>
      </w:r>
    </w:p>
  </w:footnote>
  <w:footnote w:type="continuationNotice" w:id="1">
    <w:p w14:paraId="3E0156E7" w14:textId="77777777" w:rsidR="003377D7" w:rsidRDefault="003377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56943"/>
    <w:rsid w:val="00057D3A"/>
    <w:rsid w:val="000627A9"/>
    <w:rsid w:val="0006739F"/>
    <w:rsid w:val="000846F0"/>
    <w:rsid w:val="000B50D8"/>
    <w:rsid w:val="000D6403"/>
    <w:rsid w:val="000E1E1C"/>
    <w:rsid w:val="000F3AE9"/>
    <w:rsid w:val="000F6CFA"/>
    <w:rsid w:val="001010AA"/>
    <w:rsid w:val="001101E8"/>
    <w:rsid w:val="001130C9"/>
    <w:rsid w:val="00125BAA"/>
    <w:rsid w:val="00125E7A"/>
    <w:rsid w:val="001321D5"/>
    <w:rsid w:val="00141781"/>
    <w:rsid w:val="00142C32"/>
    <w:rsid w:val="001434F2"/>
    <w:rsid w:val="0015015B"/>
    <w:rsid w:val="001525F5"/>
    <w:rsid w:val="001579F3"/>
    <w:rsid w:val="00160DA0"/>
    <w:rsid w:val="00163CA6"/>
    <w:rsid w:val="00170008"/>
    <w:rsid w:val="00170690"/>
    <w:rsid w:val="00171104"/>
    <w:rsid w:val="001751B0"/>
    <w:rsid w:val="0018182D"/>
    <w:rsid w:val="00184B20"/>
    <w:rsid w:val="001A6ABA"/>
    <w:rsid w:val="001A7748"/>
    <w:rsid w:val="001C0DBE"/>
    <w:rsid w:val="001E0965"/>
    <w:rsid w:val="001E0F71"/>
    <w:rsid w:val="001F1768"/>
    <w:rsid w:val="001F1D2F"/>
    <w:rsid w:val="00233608"/>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377D7"/>
    <w:rsid w:val="00350EB9"/>
    <w:rsid w:val="00351AFA"/>
    <w:rsid w:val="00354BE0"/>
    <w:rsid w:val="00354E4F"/>
    <w:rsid w:val="00356EAF"/>
    <w:rsid w:val="0036720B"/>
    <w:rsid w:val="00375967"/>
    <w:rsid w:val="00390F89"/>
    <w:rsid w:val="0039452D"/>
    <w:rsid w:val="003956BD"/>
    <w:rsid w:val="003A05D0"/>
    <w:rsid w:val="003A3FB3"/>
    <w:rsid w:val="003A53DC"/>
    <w:rsid w:val="003B074C"/>
    <w:rsid w:val="003B3C84"/>
    <w:rsid w:val="003D1B0B"/>
    <w:rsid w:val="003E2C0D"/>
    <w:rsid w:val="00404E09"/>
    <w:rsid w:val="00407ABF"/>
    <w:rsid w:val="00411584"/>
    <w:rsid w:val="00421A66"/>
    <w:rsid w:val="00424D6B"/>
    <w:rsid w:val="0042754B"/>
    <w:rsid w:val="00433FF3"/>
    <w:rsid w:val="0045489C"/>
    <w:rsid w:val="004622E3"/>
    <w:rsid w:val="00464AD3"/>
    <w:rsid w:val="004771D7"/>
    <w:rsid w:val="00477297"/>
    <w:rsid w:val="004773F1"/>
    <w:rsid w:val="00497B3A"/>
    <w:rsid w:val="004A52BA"/>
    <w:rsid w:val="004B2928"/>
    <w:rsid w:val="004E731C"/>
    <w:rsid w:val="0050116C"/>
    <w:rsid w:val="00506E37"/>
    <w:rsid w:val="0051361A"/>
    <w:rsid w:val="00514BEB"/>
    <w:rsid w:val="00521E9A"/>
    <w:rsid w:val="005278AF"/>
    <w:rsid w:val="005319D8"/>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69F"/>
    <w:rsid w:val="00652DF7"/>
    <w:rsid w:val="006604B7"/>
    <w:rsid w:val="00667B94"/>
    <w:rsid w:val="006912E0"/>
    <w:rsid w:val="006A0623"/>
    <w:rsid w:val="006D5B7C"/>
    <w:rsid w:val="006E25DC"/>
    <w:rsid w:val="006F5A94"/>
    <w:rsid w:val="006F633C"/>
    <w:rsid w:val="00710024"/>
    <w:rsid w:val="00722F9A"/>
    <w:rsid w:val="0072435B"/>
    <w:rsid w:val="00727AE7"/>
    <w:rsid w:val="007404C1"/>
    <w:rsid w:val="007406D4"/>
    <w:rsid w:val="00740F20"/>
    <w:rsid w:val="007610CF"/>
    <w:rsid w:val="007632E9"/>
    <w:rsid w:val="007643F6"/>
    <w:rsid w:val="00771A56"/>
    <w:rsid w:val="00771E87"/>
    <w:rsid w:val="0079334B"/>
    <w:rsid w:val="007A1FF5"/>
    <w:rsid w:val="007A20FE"/>
    <w:rsid w:val="007B371B"/>
    <w:rsid w:val="007B6506"/>
    <w:rsid w:val="007C2C81"/>
    <w:rsid w:val="007C4AAD"/>
    <w:rsid w:val="007C6772"/>
    <w:rsid w:val="007D4483"/>
    <w:rsid w:val="007F41EC"/>
    <w:rsid w:val="008103E9"/>
    <w:rsid w:val="00822482"/>
    <w:rsid w:val="00827D0D"/>
    <w:rsid w:val="00855BDD"/>
    <w:rsid w:val="00856290"/>
    <w:rsid w:val="00856498"/>
    <w:rsid w:val="00856B72"/>
    <w:rsid w:val="00877BD5"/>
    <w:rsid w:val="0089025D"/>
    <w:rsid w:val="0089055B"/>
    <w:rsid w:val="00893080"/>
    <w:rsid w:val="008A0A97"/>
    <w:rsid w:val="008B41AD"/>
    <w:rsid w:val="008B69D2"/>
    <w:rsid w:val="008C59A6"/>
    <w:rsid w:val="008E186E"/>
    <w:rsid w:val="008E195E"/>
    <w:rsid w:val="0090026C"/>
    <w:rsid w:val="00927299"/>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374E6"/>
    <w:rsid w:val="00B52D25"/>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227BD"/>
    <w:rsid w:val="00C4083A"/>
    <w:rsid w:val="00C45BBE"/>
    <w:rsid w:val="00C51946"/>
    <w:rsid w:val="00C5253A"/>
    <w:rsid w:val="00C63E05"/>
    <w:rsid w:val="00C70A38"/>
    <w:rsid w:val="00C7543F"/>
    <w:rsid w:val="00C8672F"/>
    <w:rsid w:val="00CC4E36"/>
    <w:rsid w:val="00CE5FED"/>
    <w:rsid w:val="00CF0617"/>
    <w:rsid w:val="00CF4207"/>
    <w:rsid w:val="00CF43B2"/>
    <w:rsid w:val="00D00AB7"/>
    <w:rsid w:val="00D04585"/>
    <w:rsid w:val="00D128E7"/>
    <w:rsid w:val="00D17D93"/>
    <w:rsid w:val="00D22906"/>
    <w:rsid w:val="00D25026"/>
    <w:rsid w:val="00D36151"/>
    <w:rsid w:val="00D4653D"/>
    <w:rsid w:val="00D50F29"/>
    <w:rsid w:val="00D52D1D"/>
    <w:rsid w:val="00D62E16"/>
    <w:rsid w:val="00D6544F"/>
    <w:rsid w:val="00D855A5"/>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1BC"/>
    <w:rsid w:val="00EB2529"/>
    <w:rsid w:val="00EC38C8"/>
    <w:rsid w:val="00ED6B35"/>
    <w:rsid w:val="00EE1A0F"/>
    <w:rsid w:val="00EE4F2C"/>
    <w:rsid w:val="00F23113"/>
    <w:rsid w:val="00F25F4D"/>
    <w:rsid w:val="00F41D3F"/>
    <w:rsid w:val="00F452EA"/>
    <w:rsid w:val="00F5131F"/>
    <w:rsid w:val="00F52B4B"/>
    <w:rsid w:val="00F759C9"/>
    <w:rsid w:val="00F913E0"/>
    <w:rsid w:val="00F95E5B"/>
    <w:rsid w:val="00F96406"/>
    <w:rsid w:val="00FB31DE"/>
    <w:rsid w:val="00FD3FAC"/>
    <w:rsid w:val="00FE2ECD"/>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ADCE4-DBC3-43DF-AA09-416FDE2A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34</Pages>
  <Words>13203</Words>
  <Characters>93216</Characters>
  <Application>Microsoft Office Word</Application>
  <DocSecurity>0</DocSecurity>
  <Lines>1758</Lines>
  <Paragraphs>691</Paragraphs>
  <ScaleCrop>false</ScaleCrop>
  <Company/>
  <LinksUpToDate>false</LinksUpToDate>
  <CharactersWithSpaces>105728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196</cp:revision>
  <dcterms:created xsi:type="dcterms:W3CDTF">2025-04-22T12:44:00Z</dcterms:created>
  <dcterms:modified xsi:type="dcterms:W3CDTF">2025-10-31T12:41:00Z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