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6195" w14:textId="6D960B20" w:rsidR="00171128" w:rsidRPr="00FA6096" w:rsidRDefault="00171128" w:rsidP="00171128">
      <w:pPr>
        <w:jc w:val="right"/>
        <w:rPr>
          <w:rFonts w:ascii="Arial" w:hAnsi="Arial" w:cs="Arial"/>
          <w:i/>
          <w:iCs/>
        </w:rPr>
      </w:pPr>
      <w:bookmarkStart w:id="0" w:name="_Ref38285444"/>
      <w:bookmarkStart w:id="1" w:name="_Ref38291496"/>
      <w:bookmarkStart w:id="2" w:name="_Toc126333941"/>
      <w:proofErr w:type="spellStart"/>
      <w:r>
        <w:rPr>
          <w:rFonts w:ascii="Arial" w:hAnsi="Arial"/>
          <w:i/>
        </w:rPr>
        <w:t>Annex</w:t>
      </w:r>
      <w:proofErr w:type="spellEnd"/>
      <w:r>
        <w:rPr>
          <w:rFonts w:ascii="Arial" w:hAnsi="Arial"/>
          <w:i/>
        </w:rPr>
        <w:t xml:space="preserve"> 1 to </w:t>
      </w:r>
      <w:proofErr w:type="spellStart"/>
      <w:r>
        <w:rPr>
          <w:rFonts w:ascii="Arial" w:hAnsi="Arial"/>
          <w:i/>
        </w:rPr>
        <w:t>the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Specific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Conditions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for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Procurement</w:t>
      </w:r>
      <w:proofErr w:type="spellEnd"/>
      <w:r>
        <w:rPr>
          <w:rFonts w:ascii="Arial" w:hAnsi="Arial"/>
          <w:i/>
        </w:rPr>
        <w:t xml:space="preserve"> ‘</w:t>
      </w:r>
      <w:proofErr w:type="spellStart"/>
      <w:r>
        <w:rPr>
          <w:rFonts w:ascii="Arial" w:hAnsi="Arial"/>
          <w:i/>
        </w:rPr>
        <w:t>Grounds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for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Economic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Operators</w:t>
      </w:r>
      <w:proofErr w:type="spellEnd"/>
      <w:r>
        <w:rPr>
          <w:rFonts w:ascii="Arial" w:hAnsi="Arial"/>
          <w:i/>
        </w:rPr>
        <w:t xml:space="preserve">’ </w:t>
      </w:r>
      <w:proofErr w:type="spellStart"/>
      <w:r>
        <w:rPr>
          <w:rFonts w:ascii="Arial" w:hAnsi="Arial"/>
          <w:i/>
        </w:rPr>
        <w:t>Exclusion</w:t>
      </w:r>
      <w:proofErr w:type="spellEnd"/>
      <w:r>
        <w:rPr>
          <w:rFonts w:ascii="Arial" w:hAnsi="Arial"/>
          <w:i/>
        </w:rPr>
        <w:t>’</w:t>
      </w:r>
      <w:bookmarkEnd w:id="0"/>
      <w:bookmarkEnd w:id="1"/>
      <w:bookmarkEnd w:id="2"/>
    </w:p>
    <w:p w14:paraId="11DF493D" w14:textId="77777777" w:rsidR="00171128" w:rsidRDefault="00171128" w:rsidP="001B7527">
      <w:pPr>
        <w:pStyle w:val="Header"/>
        <w:rPr>
          <w:rFonts w:ascii="Arial" w:eastAsia="Calibri" w:hAnsi="Arial" w:cs="Arial"/>
          <w:b/>
          <w:bCs/>
          <w:color w:val="000000" w:themeColor="text1"/>
        </w:rPr>
      </w:pPr>
    </w:p>
    <w:p w14:paraId="613C6429" w14:textId="776663FF" w:rsidR="00D4588C" w:rsidRPr="001B7527" w:rsidRDefault="00E11615" w:rsidP="00D511B5">
      <w:pPr>
        <w:pStyle w:val="Header"/>
        <w:rPr>
          <w:rFonts w:ascii="Arial" w:hAnsi="Arial" w:cs="Arial"/>
          <w:b/>
          <w:snapToGrid w:val="0"/>
          <w:color w:val="000000" w:themeColor="text1"/>
        </w:rPr>
      </w:pPr>
      <w:r w:rsidRPr="001B7527">
        <w:rPr>
          <w:rFonts w:ascii="Arial" w:eastAsia="Calibri" w:hAnsi="Arial" w:cs="Arial"/>
          <w:b/>
          <w:bCs/>
          <w:color w:val="000000" w:themeColor="text1"/>
        </w:rPr>
        <w:tab/>
      </w:r>
      <w:r w:rsidR="00D4588C" w:rsidRPr="001B7527">
        <w:rPr>
          <w:rFonts w:ascii="Arial" w:hAnsi="Arial" w:cs="Arial"/>
          <w:b/>
          <w:snapToGrid w:val="0"/>
          <w:color w:val="000000" w:themeColor="text1"/>
        </w:rPr>
        <w:t>TECHNICAL SPECIFICATION</w:t>
      </w:r>
    </w:p>
    <w:p w14:paraId="4D1B1E58" w14:textId="77777777" w:rsidR="00001198" w:rsidRPr="001B7527" w:rsidRDefault="00001198" w:rsidP="00F2412D">
      <w:pPr>
        <w:spacing w:after="0"/>
        <w:jc w:val="both"/>
        <w:rPr>
          <w:rFonts w:ascii="Arial" w:hAnsi="Arial" w:cs="Arial"/>
          <w:b/>
          <w:snapToGrid w:val="0"/>
          <w:color w:val="000000" w:themeColor="text1"/>
        </w:rPr>
      </w:pPr>
    </w:p>
    <w:p w14:paraId="01D4B9AE" w14:textId="77777777" w:rsidR="00D4588C" w:rsidRPr="001B7527" w:rsidRDefault="00D4588C" w:rsidP="00D4588C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en-US"/>
        </w:rPr>
      </w:pPr>
      <w:r w:rsidRPr="001B7527">
        <w:rPr>
          <w:rFonts w:ascii="Arial" w:hAnsi="Arial" w:cs="Arial"/>
          <w:b/>
          <w:bCs/>
          <w:snapToGrid w:val="0"/>
          <w:color w:val="000000" w:themeColor="text1"/>
          <w:lang w:val="en-US"/>
        </w:rPr>
        <w:t>1. TERMS AND ABBREVIATIONS / GENERAL INFORMATION</w:t>
      </w:r>
    </w:p>
    <w:p w14:paraId="1D4F51ED" w14:textId="2CB54C5B" w:rsidR="00D4588C" w:rsidRPr="001B7527" w:rsidRDefault="00D4588C" w:rsidP="00D4588C">
      <w:pPr>
        <w:spacing w:after="0"/>
        <w:jc w:val="both"/>
        <w:rPr>
          <w:rFonts w:ascii="Arial" w:hAnsi="Arial" w:cs="Arial"/>
          <w:bCs/>
          <w:snapToGrid w:val="0"/>
          <w:color w:val="000000" w:themeColor="text1"/>
          <w:lang w:val="en-US"/>
        </w:rPr>
      </w:pPr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t>1.1. Buyer / Purchasing Organization</w:t>
      </w:r>
      <w:r w:rsidR="00F33669">
        <w:rPr>
          <w:rFonts w:ascii="Arial" w:hAnsi="Arial" w:cs="Arial"/>
          <w:bCs/>
          <w:snapToGrid w:val="0"/>
          <w:color w:val="000000" w:themeColor="text1"/>
          <w:lang w:val="en-US"/>
        </w:rPr>
        <w:t xml:space="preserve"> / VU</w:t>
      </w:r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t xml:space="preserve"> – Vilnius University.</w:t>
      </w:r>
    </w:p>
    <w:p w14:paraId="58E3EB80" w14:textId="2842C647" w:rsidR="00D4588C" w:rsidRPr="001B7527" w:rsidRDefault="00D4588C" w:rsidP="00D4588C">
      <w:pPr>
        <w:spacing w:after="0"/>
        <w:jc w:val="both"/>
        <w:rPr>
          <w:rFonts w:ascii="Arial" w:hAnsi="Arial" w:cs="Arial"/>
          <w:bCs/>
          <w:snapToGrid w:val="0"/>
          <w:color w:val="000000" w:themeColor="text1"/>
          <w:lang w:val="en-US"/>
        </w:rPr>
      </w:pPr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t>1.2. Supplier – a business entity – a natural person, a private or public legal entity, another organization and its division, or a group of such persons, including temporary associations of business entities, with whom the Buyer will enter into the Purchase Agreement.</w:t>
      </w:r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br/>
        <w:t>1.3. Contract – the Purchase Agreement concluded between the Supplier and the Buyer regarding the subject of this Purchase.</w:t>
      </w:r>
    </w:p>
    <w:p w14:paraId="43985C2A" w14:textId="77777777" w:rsidR="00001198" w:rsidRPr="001B7527" w:rsidRDefault="00001198" w:rsidP="00F2412D">
      <w:pPr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en-US"/>
        </w:rPr>
      </w:pPr>
    </w:p>
    <w:p w14:paraId="2674F3C6" w14:textId="77777777" w:rsidR="00D4588C" w:rsidRPr="001B7527" w:rsidRDefault="00D4588C" w:rsidP="00D4588C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en-US"/>
        </w:rPr>
      </w:pPr>
      <w:r w:rsidRPr="001B7527">
        <w:rPr>
          <w:rFonts w:ascii="Arial" w:hAnsi="Arial" w:cs="Arial"/>
          <w:b/>
          <w:bCs/>
          <w:snapToGrid w:val="0"/>
          <w:color w:val="000000" w:themeColor="text1"/>
          <w:lang w:val="en-US"/>
        </w:rPr>
        <w:t>2. SUBJECT OF THE PURCHASE</w:t>
      </w:r>
    </w:p>
    <w:p w14:paraId="0BCD87FF" w14:textId="792F7596" w:rsidR="00D4588C" w:rsidRPr="001B7527" w:rsidRDefault="00D4588C" w:rsidP="00D4588C">
      <w:pPr>
        <w:spacing w:after="0"/>
        <w:jc w:val="both"/>
        <w:rPr>
          <w:rFonts w:ascii="Arial" w:hAnsi="Arial" w:cs="Arial"/>
          <w:bCs/>
          <w:snapToGrid w:val="0"/>
          <w:color w:val="000000" w:themeColor="text1"/>
          <w:lang w:val="en-US"/>
        </w:rPr>
      </w:pPr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t xml:space="preserve">2.1. Purchase Subject – </w:t>
      </w:r>
      <w:r w:rsidR="00237EE9">
        <w:rPr>
          <w:rFonts w:ascii="Arial" w:hAnsi="Arial" w:cs="Arial"/>
          <w:b/>
          <w:snapToGrid w:val="0"/>
          <w:color w:val="000000" w:themeColor="text1"/>
          <w:lang w:val="en-US"/>
        </w:rPr>
        <w:t>l</w:t>
      </w:r>
      <w:r w:rsidRPr="001B7527">
        <w:rPr>
          <w:rFonts w:ascii="Arial" w:hAnsi="Arial" w:cs="Arial"/>
          <w:b/>
          <w:snapToGrid w:val="0"/>
          <w:color w:val="000000" w:themeColor="text1"/>
          <w:lang w:val="en-US"/>
        </w:rPr>
        <w:t xml:space="preserve">ow </w:t>
      </w:r>
      <w:r w:rsidR="00785058">
        <w:rPr>
          <w:rFonts w:ascii="Arial" w:hAnsi="Arial" w:cs="Arial"/>
          <w:b/>
          <w:snapToGrid w:val="0"/>
          <w:color w:val="000000" w:themeColor="text1"/>
          <w:lang w:val="en-US"/>
        </w:rPr>
        <w:t>n</w:t>
      </w:r>
      <w:r w:rsidRPr="001B7527">
        <w:rPr>
          <w:rFonts w:ascii="Arial" w:hAnsi="Arial" w:cs="Arial"/>
          <w:b/>
          <w:snapToGrid w:val="0"/>
          <w:color w:val="000000" w:themeColor="text1"/>
          <w:lang w:val="en-US"/>
        </w:rPr>
        <w:t xml:space="preserve">oise CMOS </w:t>
      </w:r>
      <w:r w:rsidR="00785058">
        <w:rPr>
          <w:rFonts w:ascii="Arial" w:hAnsi="Arial" w:cs="Arial"/>
          <w:b/>
          <w:snapToGrid w:val="0"/>
          <w:color w:val="000000" w:themeColor="text1"/>
          <w:lang w:val="en-US"/>
        </w:rPr>
        <w:t>c</w:t>
      </w:r>
      <w:r w:rsidRPr="001B7527">
        <w:rPr>
          <w:rFonts w:ascii="Arial" w:hAnsi="Arial" w:cs="Arial"/>
          <w:b/>
          <w:snapToGrid w:val="0"/>
          <w:color w:val="000000" w:themeColor="text1"/>
          <w:lang w:val="en-US"/>
        </w:rPr>
        <w:t>amera</w:t>
      </w:r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t xml:space="preserve"> (hereinafter referred to as the product).</w:t>
      </w:r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br/>
        <w:t>2.2. The purchase subject is not divided into parts, so the Supplier must submit an offer for the entire scope of the purchase object as outlined below.</w:t>
      </w:r>
    </w:p>
    <w:p w14:paraId="6FB8ADBF" w14:textId="66E6FCAE" w:rsidR="00D4588C" w:rsidRPr="001B7527" w:rsidRDefault="00D4588C" w:rsidP="00D4588C">
      <w:pPr>
        <w:spacing w:after="0"/>
        <w:jc w:val="both"/>
        <w:rPr>
          <w:rFonts w:ascii="Arial" w:hAnsi="Arial" w:cs="Arial"/>
          <w:bCs/>
          <w:snapToGrid w:val="0"/>
          <w:color w:val="000000" w:themeColor="text1"/>
          <w:lang w:val="en-US"/>
        </w:rPr>
      </w:pPr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t xml:space="preserve">2.3. Delivery Location – VU Laser Research Center,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t>Saulėtekio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t xml:space="preserve"> Ave. 10, LT-10223 Vilnius.</w:t>
      </w:r>
    </w:p>
    <w:p w14:paraId="78C4D822" w14:textId="3704AA5B" w:rsidR="00001198" w:rsidRPr="001B7527" w:rsidRDefault="00D4588C" w:rsidP="00D4588C">
      <w:pPr>
        <w:spacing w:after="0"/>
        <w:jc w:val="right"/>
        <w:rPr>
          <w:rFonts w:ascii="Arial" w:hAnsi="Arial" w:cs="Arial"/>
          <w:b/>
          <w:snapToGrid w:val="0"/>
          <w:color w:val="000000" w:themeColor="text1"/>
          <w:lang w:val="en-US"/>
        </w:rPr>
      </w:pPr>
      <w:r w:rsidRPr="001B7527">
        <w:rPr>
          <w:rFonts w:ascii="Arial" w:hAnsi="Arial" w:cs="Arial"/>
          <w:b/>
          <w:snapToGrid w:val="0"/>
          <w:color w:val="000000" w:themeColor="text1"/>
          <w:lang w:val="en-US"/>
        </w:rPr>
        <w:t>1 Table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36"/>
        <w:gridCol w:w="2294"/>
        <w:gridCol w:w="1635"/>
        <w:gridCol w:w="1500"/>
        <w:gridCol w:w="1329"/>
        <w:gridCol w:w="1734"/>
      </w:tblGrid>
      <w:tr w:rsidR="001B7527" w:rsidRPr="001B7527" w14:paraId="198DA35F" w14:textId="77777777" w:rsidTr="00D51FD0">
        <w:trPr>
          <w:trHeight w:val="20"/>
          <w:jc w:val="center"/>
        </w:trPr>
        <w:tc>
          <w:tcPr>
            <w:tcW w:w="1218" w:type="dxa"/>
            <w:vMerge w:val="restart"/>
            <w:vAlign w:val="center"/>
          </w:tcPr>
          <w:p w14:paraId="7228F379" w14:textId="0CE8EA1D" w:rsidR="00D4588C" w:rsidRPr="001B7527" w:rsidRDefault="00D4588C" w:rsidP="00D51FD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35" w:type="dxa"/>
            <w:vMerge w:val="restart"/>
            <w:vAlign w:val="center"/>
          </w:tcPr>
          <w:p w14:paraId="28116F75" w14:textId="69393E86" w:rsidR="00D4588C" w:rsidRPr="001B7527" w:rsidRDefault="00D4588C" w:rsidP="00D51FD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Product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1538" w:type="dxa"/>
            <w:vMerge w:val="restart"/>
            <w:vAlign w:val="center"/>
          </w:tcPr>
          <w:p w14:paraId="3FED90C7" w14:textId="3627FA3A" w:rsidR="00D4588C" w:rsidRPr="001B7527" w:rsidRDefault="00D4588C" w:rsidP="00D51FD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Quantity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Unit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Measurement</w:t>
            </w:r>
            <w:proofErr w:type="spellEnd"/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vAlign w:val="center"/>
          </w:tcPr>
          <w:p w14:paraId="17D801C1" w14:textId="2EDF937D" w:rsidR="00D4588C" w:rsidRPr="001B7527" w:rsidRDefault="00D4588C" w:rsidP="00D51FD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Order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Submission</w:t>
            </w:r>
            <w:proofErr w:type="spellEnd"/>
          </w:p>
        </w:tc>
        <w:tc>
          <w:tcPr>
            <w:tcW w:w="1850" w:type="dxa"/>
            <w:vMerge w:val="restart"/>
            <w:vAlign w:val="center"/>
          </w:tcPr>
          <w:p w14:paraId="54C80C53" w14:textId="7CDBA7C3" w:rsidR="00D4588C" w:rsidRPr="001B7527" w:rsidRDefault="00D4588C" w:rsidP="00D51FD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Product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Supply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Deadline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from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Contract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Effective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B565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weeks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1B7527" w:rsidRPr="001B7527" w14:paraId="12A38916" w14:textId="77777777" w:rsidTr="00D51FD0">
        <w:trPr>
          <w:trHeight w:val="2044"/>
          <w:jc w:val="center"/>
        </w:trPr>
        <w:tc>
          <w:tcPr>
            <w:tcW w:w="1218" w:type="dxa"/>
            <w:vMerge/>
            <w:vAlign w:val="center"/>
          </w:tcPr>
          <w:p w14:paraId="69C13778" w14:textId="77777777" w:rsidR="00D4588C" w:rsidRPr="001B7527" w:rsidRDefault="00D4588C" w:rsidP="00D51F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35" w:type="dxa"/>
            <w:vMerge/>
            <w:vAlign w:val="center"/>
          </w:tcPr>
          <w:p w14:paraId="3479ED22" w14:textId="77777777" w:rsidR="00D4588C" w:rsidRPr="001B7527" w:rsidRDefault="00D4588C" w:rsidP="00D51F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  <w:vMerge/>
            <w:vAlign w:val="center"/>
          </w:tcPr>
          <w:p w14:paraId="448AF277" w14:textId="77777777" w:rsidR="00D4588C" w:rsidRPr="001B7527" w:rsidRDefault="00D4588C" w:rsidP="00D51F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849327" w14:textId="5387E01F" w:rsidR="00D4588C" w:rsidRPr="001B7527" w:rsidRDefault="00D4588C" w:rsidP="00D51FD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(mark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orders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will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be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submitted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on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demand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periodically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 etc.)**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0E036D" w14:textId="45813FEF" w:rsidR="00D4588C" w:rsidRPr="001B7527" w:rsidRDefault="00D4588C" w:rsidP="00D51FD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(mark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entire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purchased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quantity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will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be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delivered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at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specified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time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)*</w:t>
            </w:r>
          </w:p>
        </w:tc>
        <w:tc>
          <w:tcPr>
            <w:tcW w:w="1850" w:type="dxa"/>
            <w:vMerge/>
            <w:vAlign w:val="center"/>
          </w:tcPr>
          <w:p w14:paraId="12A658A6" w14:textId="77777777" w:rsidR="00D4588C" w:rsidRPr="001B7527" w:rsidRDefault="00D4588C" w:rsidP="00D51FD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4588C" w:rsidRPr="001B7527" w14:paraId="37490B95" w14:textId="77777777" w:rsidTr="00D51FD0">
        <w:trPr>
          <w:trHeight w:val="493"/>
          <w:jc w:val="center"/>
        </w:trPr>
        <w:tc>
          <w:tcPr>
            <w:tcW w:w="1218" w:type="dxa"/>
          </w:tcPr>
          <w:p w14:paraId="26CECDFC" w14:textId="77777777" w:rsidR="00D4588C" w:rsidRPr="001B7527" w:rsidRDefault="00D4588C" w:rsidP="00D51FD0">
            <w:pPr>
              <w:ind w:firstLine="3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535" w:type="dxa"/>
            <w:vAlign w:val="center"/>
          </w:tcPr>
          <w:p w14:paraId="66C110D7" w14:textId="72856A49" w:rsidR="00D4588C" w:rsidRPr="001B7527" w:rsidRDefault="004A7817" w:rsidP="00D51FD0">
            <w:pPr>
              <w:ind w:hanging="38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</w:t>
            </w:r>
            <w:r w:rsidR="00D4588C"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ow</w:t>
            </w:r>
            <w:proofErr w:type="spellEnd"/>
            <w:r w:rsidR="00D4588C"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26C0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 w:rsidR="00D4588C"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oise</w:t>
            </w:r>
            <w:proofErr w:type="spellEnd"/>
            <w:r w:rsidR="00D4588C"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CMOS </w:t>
            </w:r>
            <w:proofErr w:type="spellStart"/>
            <w:r w:rsidR="00B26C0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</w:t>
            </w:r>
            <w:r w:rsidR="00D4588C"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amera</w:t>
            </w:r>
            <w:proofErr w:type="spellEnd"/>
          </w:p>
        </w:tc>
        <w:tc>
          <w:tcPr>
            <w:tcW w:w="1538" w:type="dxa"/>
            <w:vAlign w:val="center"/>
          </w:tcPr>
          <w:p w14:paraId="17AFEF36" w14:textId="681A82FE" w:rsidR="00D4588C" w:rsidRPr="001B7527" w:rsidRDefault="00D4588C" w:rsidP="00D51FD0">
            <w:pPr>
              <w:ind w:hanging="16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pc</w:t>
            </w:r>
            <w:proofErr w:type="spellEnd"/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59775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8" w:type="dxa"/>
                <w:tcBorders>
                  <w:right w:val="single" w:sz="4" w:space="0" w:color="auto"/>
                </w:tcBorders>
                <w:vAlign w:val="center"/>
              </w:tcPr>
              <w:p w14:paraId="53789BB2" w14:textId="77777777" w:rsidR="00D4588C" w:rsidRPr="001B7527" w:rsidRDefault="00D4588C" w:rsidP="00D51FD0">
                <w:pPr>
                  <w:jc w:val="center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1B752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</w:rPr>
            <w:id w:val="8408288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tcBorders>
                  <w:left w:val="single" w:sz="4" w:space="0" w:color="auto"/>
                </w:tcBorders>
                <w:vAlign w:val="center"/>
              </w:tcPr>
              <w:p w14:paraId="54F9D487" w14:textId="77777777" w:rsidR="00D4588C" w:rsidRPr="001B7527" w:rsidRDefault="00D4588C" w:rsidP="00D51FD0">
                <w:pPr>
                  <w:jc w:val="center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1B752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850" w:type="dxa"/>
            <w:vAlign w:val="center"/>
          </w:tcPr>
          <w:p w14:paraId="0F5B2938" w14:textId="11E41F3F" w:rsidR="00D4588C" w:rsidRPr="001B7527" w:rsidRDefault="00D4588C" w:rsidP="00D51FD0">
            <w:pPr>
              <w:ind w:hanging="16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No</w:t>
            </w:r>
            <w:proofErr w:type="spellEnd"/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more</w:t>
            </w:r>
            <w:proofErr w:type="spellEnd"/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than</w:t>
            </w:r>
            <w:proofErr w:type="spellEnd"/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  <w:lang w:val="en-US"/>
              </w:rPr>
              <w:t>10</w:t>
            </w:r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weeks</w:t>
            </w:r>
            <w:proofErr w:type="spellEnd"/>
          </w:p>
        </w:tc>
      </w:tr>
    </w:tbl>
    <w:p w14:paraId="6DBAAFCC" w14:textId="77777777" w:rsidR="00001198" w:rsidRPr="001B7527" w:rsidRDefault="00001198" w:rsidP="00F2412D">
      <w:pPr>
        <w:spacing w:after="0"/>
        <w:jc w:val="both"/>
        <w:rPr>
          <w:rFonts w:ascii="Arial" w:hAnsi="Arial" w:cs="Arial"/>
          <w:b/>
          <w:snapToGrid w:val="0"/>
          <w:color w:val="000000" w:themeColor="text1"/>
        </w:rPr>
      </w:pPr>
    </w:p>
    <w:p w14:paraId="45243E19" w14:textId="77777777" w:rsidR="00D4588C" w:rsidRPr="001B7527" w:rsidRDefault="00D4588C" w:rsidP="00F2412D">
      <w:pPr>
        <w:spacing w:after="0"/>
        <w:jc w:val="both"/>
        <w:rPr>
          <w:rFonts w:ascii="Arial" w:hAnsi="Arial" w:cs="Arial"/>
          <w:b/>
          <w:snapToGrid w:val="0"/>
          <w:color w:val="000000" w:themeColor="text1"/>
        </w:rPr>
      </w:pPr>
    </w:p>
    <w:p w14:paraId="01BE83AD" w14:textId="77777777" w:rsidR="00D4588C" w:rsidRPr="001B7527" w:rsidRDefault="00D4588C" w:rsidP="00F2412D">
      <w:pPr>
        <w:spacing w:after="0"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2.4.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quantity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of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products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indicated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in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above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table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is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final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and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will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not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change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during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execution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of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Contract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>.</w:t>
      </w:r>
    </w:p>
    <w:p w14:paraId="681221BB" w14:textId="78029A31" w:rsidR="00D4588C" w:rsidRPr="001B7527" w:rsidRDefault="00D4588C" w:rsidP="00F2412D">
      <w:pPr>
        <w:spacing w:after="0"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2.5.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Order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Submission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Procedure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>:</w:t>
      </w:r>
    </w:p>
    <w:p w14:paraId="556B9636" w14:textId="1AA4FD5E" w:rsidR="00D4588C" w:rsidRPr="001B7527" w:rsidRDefault="00D4588C" w:rsidP="00F2412D">
      <w:pPr>
        <w:spacing w:after="0"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2.5.1.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Orders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will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not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be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submitted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during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term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of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Contract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.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products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must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be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delivered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according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to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deadline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specified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in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Cs/>
          <w:snapToGrid w:val="0"/>
          <w:color w:val="000000" w:themeColor="text1"/>
        </w:rPr>
        <w:t>Table</w:t>
      </w:r>
      <w:proofErr w:type="spellEnd"/>
      <w:r w:rsidRPr="001B7527">
        <w:rPr>
          <w:rFonts w:ascii="Arial" w:hAnsi="Arial" w:cs="Arial"/>
          <w:bCs/>
          <w:snapToGrid w:val="0"/>
          <w:color w:val="000000" w:themeColor="text1"/>
        </w:rPr>
        <w:t xml:space="preserve"> 1.</w:t>
      </w:r>
    </w:p>
    <w:p w14:paraId="79AD8B08" w14:textId="77777777" w:rsidR="00D4588C" w:rsidRPr="001B7527" w:rsidRDefault="00D4588C" w:rsidP="00F2412D">
      <w:pPr>
        <w:spacing w:after="0"/>
        <w:jc w:val="both"/>
        <w:rPr>
          <w:rFonts w:ascii="Arial" w:hAnsi="Arial" w:cs="Arial"/>
          <w:b/>
          <w:snapToGrid w:val="0"/>
          <w:color w:val="000000" w:themeColor="text1"/>
        </w:rPr>
      </w:pPr>
    </w:p>
    <w:p w14:paraId="555730DF" w14:textId="77777777" w:rsidR="00D4588C" w:rsidRPr="001B7527" w:rsidRDefault="00D4588C" w:rsidP="00D4588C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en-US"/>
        </w:rPr>
      </w:pPr>
      <w:r w:rsidRPr="001B7527">
        <w:rPr>
          <w:rFonts w:ascii="Arial" w:hAnsi="Arial" w:cs="Arial"/>
          <w:b/>
          <w:bCs/>
          <w:snapToGrid w:val="0"/>
          <w:color w:val="000000" w:themeColor="text1"/>
          <w:lang w:val="en-US"/>
        </w:rPr>
        <w:t>3. REQUIREMENTS FOR THE PRODUCTS</w:t>
      </w:r>
    </w:p>
    <w:p w14:paraId="0CFAB275" w14:textId="0E788CCD" w:rsidR="00D4588C" w:rsidRPr="001B7527" w:rsidRDefault="00D4588C" w:rsidP="00D4588C">
      <w:pPr>
        <w:spacing w:after="0"/>
        <w:jc w:val="both"/>
        <w:rPr>
          <w:rFonts w:ascii="Arial" w:hAnsi="Arial" w:cs="Arial"/>
          <w:bCs/>
          <w:snapToGrid w:val="0"/>
          <w:color w:val="000000" w:themeColor="text1"/>
          <w:lang w:val="en-US"/>
        </w:rPr>
      </w:pPr>
      <w:r w:rsidRPr="001B7527">
        <w:rPr>
          <w:rFonts w:ascii="Arial" w:hAnsi="Arial" w:cs="Arial"/>
          <w:bCs/>
          <w:snapToGrid w:val="0"/>
          <w:color w:val="000000" w:themeColor="text1"/>
          <w:lang w:val="en-US"/>
        </w:rPr>
        <w:t>3.1. If specific models, sources, specific processes, brand names, patents, types, specific origin, or production are mentioned in the purchase documents, they may be replaced by equivalent alternatives.</w:t>
      </w:r>
      <w:r w:rsidRPr="001B7527">
        <w:rPr>
          <w:rStyle w:val="FootnoteReference"/>
          <w:rFonts w:ascii="Arial" w:eastAsia="Calibri" w:hAnsi="Arial" w:cs="Arial"/>
          <w:color w:val="000000" w:themeColor="text1"/>
        </w:rPr>
        <w:t xml:space="preserve"> </w:t>
      </w:r>
      <w:r w:rsidRPr="001B7527">
        <w:rPr>
          <w:rStyle w:val="FootnoteReference"/>
          <w:rFonts w:ascii="Arial" w:eastAsia="Calibri" w:hAnsi="Arial" w:cs="Arial"/>
          <w:color w:val="000000" w:themeColor="text1"/>
        </w:rPr>
        <w:footnoteReference w:id="1"/>
      </w:r>
    </w:p>
    <w:p w14:paraId="4D84CE20" w14:textId="77777777" w:rsidR="00D4588C" w:rsidRPr="001B7527" w:rsidRDefault="00D4588C" w:rsidP="00F2412D">
      <w:pPr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en-US"/>
        </w:rPr>
      </w:pPr>
    </w:p>
    <w:p w14:paraId="51765574" w14:textId="77777777" w:rsidR="00D4588C" w:rsidRPr="001B7527" w:rsidRDefault="00D4588C" w:rsidP="00F2412D">
      <w:pPr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en-US"/>
        </w:rPr>
      </w:pPr>
    </w:p>
    <w:p w14:paraId="7ABBBE1F" w14:textId="6270AB51" w:rsidR="00001198" w:rsidRPr="001B7527" w:rsidRDefault="00D4588C" w:rsidP="00D4588C">
      <w:pPr>
        <w:spacing w:after="0"/>
        <w:jc w:val="right"/>
        <w:rPr>
          <w:rFonts w:ascii="Arial" w:hAnsi="Arial" w:cs="Arial"/>
          <w:b/>
          <w:snapToGrid w:val="0"/>
          <w:color w:val="000000" w:themeColor="text1"/>
        </w:rPr>
      </w:pPr>
      <w:r w:rsidRPr="001B7527">
        <w:rPr>
          <w:rFonts w:ascii="Arial" w:hAnsi="Arial" w:cs="Arial"/>
          <w:b/>
          <w:snapToGrid w:val="0"/>
          <w:color w:val="000000" w:themeColor="text1"/>
        </w:rPr>
        <w:tab/>
      </w:r>
      <w:r w:rsidRPr="001B7527">
        <w:rPr>
          <w:rFonts w:ascii="Arial" w:hAnsi="Arial" w:cs="Arial"/>
          <w:b/>
          <w:snapToGrid w:val="0"/>
          <w:color w:val="000000" w:themeColor="text1"/>
        </w:rPr>
        <w:tab/>
      </w:r>
      <w:r w:rsidRPr="001B7527">
        <w:rPr>
          <w:rFonts w:ascii="Arial" w:hAnsi="Arial" w:cs="Arial"/>
          <w:b/>
          <w:snapToGrid w:val="0"/>
          <w:color w:val="000000" w:themeColor="text1"/>
        </w:rPr>
        <w:tab/>
      </w:r>
      <w:r w:rsidRPr="001B7527">
        <w:rPr>
          <w:rFonts w:ascii="Arial" w:hAnsi="Arial" w:cs="Arial"/>
          <w:b/>
          <w:snapToGrid w:val="0"/>
          <w:color w:val="000000" w:themeColor="text1"/>
        </w:rPr>
        <w:tab/>
      </w:r>
      <w:r w:rsidRPr="001B7527">
        <w:rPr>
          <w:rFonts w:ascii="Arial" w:hAnsi="Arial" w:cs="Arial"/>
          <w:b/>
          <w:snapToGrid w:val="0"/>
          <w:color w:val="000000" w:themeColor="text1"/>
        </w:rPr>
        <w:tab/>
      </w:r>
      <w:r w:rsidRPr="001B7527">
        <w:rPr>
          <w:rFonts w:ascii="Arial" w:hAnsi="Arial" w:cs="Arial"/>
          <w:b/>
          <w:snapToGrid w:val="0"/>
          <w:color w:val="000000" w:themeColor="text1"/>
        </w:rPr>
        <w:tab/>
      </w:r>
      <w:r w:rsidRPr="001B7527">
        <w:rPr>
          <w:rFonts w:ascii="Arial" w:hAnsi="Arial" w:cs="Arial"/>
          <w:b/>
          <w:snapToGrid w:val="0"/>
          <w:color w:val="000000" w:themeColor="text1"/>
          <w:lang w:val="en-US"/>
        </w:rPr>
        <w:t xml:space="preserve">2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Table</w:t>
      </w:r>
      <w:proofErr w:type="spellEnd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11"/>
        <w:gridCol w:w="2801"/>
        <w:gridCol w:w="3223"/>
        <w:gridCol w:w="2793"/>
      </w:tblGrid>
      <w:tr w:rsidR="001B7527" w:rsidRPr="001B7527" w14:paraId="3A4A4F10" w14:textId="77777777" w:rsidTr="00001198">
        <w:tc>
          <w:tcPr>
            <w:tcW w:w="811" w:type="dxa"/>
          </w:tcPr>
          <w:p w14:paraId="537D0109" w14:textId="50BC0CE7" w:rsidR="00001198" w:rsidRPr="001B7527" w:rsidRDefault="00001198" w:rsidP="00D51FD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No.</w:t>
            </w:r>
          </w:p>
        </w:tc>
        <w:tc>
          <w:tcPr>
            <w:tcW w:w="2801" w:type="dxa"/>
          </w:tcPr>
          <w:p w14:paraId="7D9DA8D5" w14:textId="1344FEA4" w:rsidR="00001198" w:rsidRPr="001B7527" w:rsidRDefault="00001198" w:rsidP="00D51FD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Required parameter</w:t>
            </w:r>
            <w:r w:rsidR="00B416B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**</w:t>
            </w:r>
          </w:p>
        </w:tc>
        <w:tc>
          <w:tcPr>
            <w:tcW w:w="3223" w:type="dxa"/>
          </w:tcPr>
          <w:p w14:paraId="2462E92B" w14:textId="77777777" w:rsidR="00001198" w:rsidRPr="001B7527" w:rsidRDefault="00001198" w:rsidP="00D51FD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Required parameter value</w:t>
            </w:r>
          </w:p>
        </w:tc>
        <w:tc>
          <w:tcPr>
            <w:tcW w:w="2793" w:type="dxa"/>
          </w:tcPr>
          <w:p w14:paraId="6EE1FC51" w14:textId="77777777" w:rsidR="00001198" w:rsidRPr="001B7527" w:rsidRDefault="00001198" w:rsidP="00D51FD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Offered parameter value</w:t>
            </w:r>
          </w:p>
          <w:p w14:paraId="0197DEC8" w14:textId="5D63A9AA" w:rsidR="009822D6" w:rsidRPr="001B7527" w:rsidRDefault="009822D6" w:rsidP="009822D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bCs/>
                <w:color w:val="FF0000"/>
                <w:sz w:val="22"/>
                <w:szCs w:val="22"/>
                <w:lang w:val="en-GB"/>
              </w:rPr>
              <w:t xml:space="preserve">(to be filled </w:t>
            </w:r>
            <w:proofErr w:type="spellStart"/>
            <w:r w:rsidRPr="001B75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by</w:t>
            </w:r>
            <w:proofErr w:type="spellEnd"/>
            <w:r w:rsidRPr="001B75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the</w:t>
            </w:r>
            <w:proofErr w:type="spellEnd"/>
            <w:r w:rsidRPr="001B75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supplier</w:t>
            </w:r>
            <w:proofErr w:type="spellEnd"/>
            <w:r w:rsidRPr="001B7527">
              <w:rPr>
                <w:rFonts w:ascii="Arial" w:hAnsi="Arial" w:cs="Arial"/>
                <w:bCs/>
                <w:color w:val="FF0000"/>
                <w:sz w:val="22"/>
                <w:szCs w:val="22"/>
                <w:lang w:val="en-GB"/>
              </w:rPr>
              <w:t>)</w:t>
            </w:r>
          </w:p>
        </w:tc>
      </w:tr>
      <w:tr w:rsidR="001B7527" w:rsidRPr="001B7527" w14:paraId="7CE71120" w14:textId="77777777" w:rsidTr="00001198">
        <w:trPr>
          <w:trHeight w:val="433"/>
        </w:trPr>
        <w:tc>
          <w:tcPr>
            <w:tcW w:w="9628" w:type="dxa"/>
            <w:gridSpan w:val="4"/>
          </w:tcPr>
          <w:p w14:paraId="7EF7A0F7" w14:textId="434E4088" w:rsidR="00001198" w:rsidRPr="001B7527" w:rsidRDefault="00001198" w:rsidP="0000119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item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name: </w:t>
            </w:r>
            <w:proofErr w:type="spellStart"/>
            <w:r w:rsidR="007431B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</w:t>
            </w:r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ow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431B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oise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CMOS </w:t>
            </w:r>
            <w:proofErr w:type="spellStart"/>
            <w:r w:rsidR="007431B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</w:t>
            </w:r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amera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Quantity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– 1 </w:t>
            </w:r>
            <w:proofErr w:type="spellStart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pc</w:t>
            </w:r>
            <w:proofErr w:type="spellEnd"/>
            <w:r w:rsidRPr="001B752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1B7527" w:rsidRPr="001B7527" w14:paraId="3DD22E57" w14:textId="77777777" w:rsidTr="00001198">
        <w:tc>
          <w:tcPr>
            <w:tcW w:w="811" w:type="dxa"/>
          </w:tcPr>
          <w:p w14:paraId="4FC7D954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40E93984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Camera sensor type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4E505A2A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CMOS</w:t>
            </w:r>
          </w:p>
        </w:tc>
        <w:tc>
          <w:tcPr>
            <w:tcW w:w="2793" w:type="dxa"/>
          </w:tcPr>
          <w:p w14:paraId="7B9FD598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38D30556" w14:textId="77777777" w:rsidTr="00001198">
        <w:tc>
          <w:tcPr>
            <w:tcW w:w="811" w:type="dxa"/>
          </w:tcPr>
          <w:p w14:paraId="43489ED7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540272C6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Spectral operating range (minimum limits)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7CF9F982" w14:textId="5D17E585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Not narrower than 400 nm – 1000 nm</w:t>
            </w:r>
          </w:p>
        </w:tc>
        <w:tc>
          <w:tcPr>
            <w:tcW w:w="2793" w:type="dxa"/>
          </w:tcPr>
          <w:p w14:paraId="1CE5D96E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48E47392" w14:textId="77777777" w:rsidTr="00001198">
        <w:tc>
          <w:tcPr>
            <w:tcW w:w="811" w:type="dxa"/>
          </w:tcPr>
          <w:p w14:paraId="12808CCF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68A6AF7F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Pixel size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5DA79438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≤ 6.5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μm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 x 6.5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μm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93" w:type="dxa"/>
          </w:tcPr>
          <w:p w14:paraId="00EE1691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6830F1C2" w14:textId="77777777" w:rsidTr="00001198">
        <w:tc>
          <w:tcPr>
            <w:tcW w:w="811" w:type="dxa"/>
          </w:tcPr>
          <w:p w14:paraId="7F327909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4E5A4122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Effective number of pixels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7781A0B9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Not less than 2300 x 2300</w:t>
            </w:r>
          </w:p>
        </w:tc>
        <w:tc>
          <w:tcPr>
            <w:tcW w:w="2793" w:type="dxa"/>
          </w:tcPr>
          <w:p w14:paraId="42FFBE36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30951B6F" w14:textId="77777777" w:rsidTr="00001198">
        <w:tc>
          <w:tcPr>
            <w:tcW w:w="811" w:type="dxa"/>
          </w:tcPr>
          <w:p w14:paraId="38B79F01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775BC90B" w14:textId="78CCFDF3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Effective area of the sensor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173CA97A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Not less than 14 mm x 14 mm</w:t>
            </w:r>
          </w:p>
        </w:tc>
        <w:tc>
          <w:tcPr>
            <w:tcW w:w="2793" w:type="dxa"/>
          </w:tcPr>
          <w:p w14:paraId="0D3E782D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00D66C5D" w14:textId="77777777" w:rsidTr="00001198">
        <w:tc>
          <w:tcPr>
            <w:tcW w:w="811" w:type="dxa"/>
          </w:tcPr>
          <w:p w14:paraId="634A36EE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312A3ED9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Dynamic range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3CB9E45F" w14:textId="5055B9CA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Not worse than 21400 : 1</w:t>
            </w:r>
          </w:p>
        </w:tc>
        <w:tc>
          <w:tcPr>
            <w:tcW w:w="2793" w:type="dxa"/>
          </w:tcPr>
          <w:p w14:paraId="427AECAC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2202C96A" w14:textId="77777777" w:rsidTr="00001198">
        <w:tc>
          <w:tcPr>
            <w:tcW w:w="811" w:type="dxa"/>
          </w:tcPr>
          <w:p w14:paraId="3D07D226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7015D5A4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Quantum efficiency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10B1F815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≥72% @400 nm</w:t>
            </w:r>
          </w:p>
          <w:p w14:paraId="1686E8B7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≥95% @550 nm</w:t>
            </w:r>
          </w:p>
          <w:p w14:paraId="509A78F7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≥83% @700 nm</w:t>
            </w:r>
          </w:p>
          <w:p w14:paraId="511F7651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≥58% @800 nm</w:t>
            </w:r>
          </w:p>
        </w:tc>
        <w:tc>
          <w:tcPr>
            <w:tcW w:w="2793" w:type="dxa"/>
          </w:tcPr>
          <w:p w14:paraId="3F0AF26B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7F69DF38" w14:textId="77777777" w:rsidTr="00001198">
        <w:tc>
          <w:tcPr>
            <w:tcW w:w="811" w:type="dxa"/>
          </w:tcPr>
          <w:p w14:paraId="5FF5B97A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70D97295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Dark current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610DA23B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≤1 electrons/ pixel/s, when cooling temperature is -5 °C</w:t>
            </w:r>
          </w:p>
          <w:p w14:paraId="6315A50C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793" w:type="dxa"/>
          </w:tcPr>
          <w:p w14:paraId="5069A19D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56BF91B2" w14:textId="77777777" w:rsidTr="00001198">
        <w:tc>
          <w:tcPr>
            <w:tcW w:w="811" w:type="dxa"/>
          </w:tcPr>
          <w:p w14:paraId="1BA569B9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33D593C8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Linearity error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239334A1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≤0,5%</w:t>
            </w:r>
          </w:p>
        </w:tc>
        <w:tc>
          <w:tcPr>
            <w:tcW w:w="2793" w:type="dxa"/>
          </w:tcPr>
          <w:p w14:paraId="6156B737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3B472DD3" w14:textId="77777777" w:rsidTr="00001198">
        <w:tc>
          <w:tcPr>
            <w:tcW w:w="811" w:type="dxa"/>
          </w:tcPr>
          <w:p w14:paraId="0E4535E7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1031A966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Photo response </w:t>
            </w: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br/>
              <w:t>non-uniformity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5C3C76A9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≤0,06% RMS @7500 electrons</w:t>
            </w:r>
          </w:p>
        </w:tc>
        <w:tc>
          <w:tcPr>
            <w:tcW w:w="2793" w:type="dxa"/>
          </w:tcPr>
          <w:p w14:paraId="16A10B9C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4841A1E1" w14:textId="77777777" w:rsidTr="00001198">
        <w:tc>
          <w:tcPr>
            <w:tcW w:w="811" w:type="dxa"/>
          </w:tcPr>
          <w:p w14:paraId="34B5BC70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3B0AE4C9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Trigger input and output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2BF7D387" w14:textId="2F31514B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Required, both with SMA connectors</w:t>
            </w:r>
          </w:p>
        </w:tc>
        <w:tc>
          <w:tcPr>
            <w:tcW w:w="2793" w:type="dxa"/>
          </w:tcPr>
          <w:p w14:paraId="5D7ABA15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2FEEFD9C" w14:textId="77777777" w:rsidTr="00001198">
        <w:tc>
          <w:tcPr>
            <w:tcW w:w="811" w:type="dxa"/>
          </w:tcPr>
          <w:p w14:paraId="18EBFDF2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3079F226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Digital output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514B6F59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16-bit, 12-bit, 8-bit</w:t>
            </w:r>
          </w:p>
        </w:tc>
        <w:tc>
          <w:tcPr>
            <w:tcW w:w="2793" w:type="dxa"/>
          </w:tcPr>
          <w:p w14:paraId="55FB977A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5B106B4A" w14:textId="77777777" w:rsidTr="00001198">
        <w:tc>
          <w:tcPr>
            <w:tcW w:w="811" w:type="dxa"/>
          </w:tcPr>
          <w:p w14:paraId="7E841EC9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2D9E1269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Optical input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243516B2" w14:textId="1208734E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least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one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C-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type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lens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holder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is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required</w:t>
            </w:r>
            <w:proofErr w:type="spellEnd"/>
          </w:p>
        </w:tc>
        <w:tc>
          <w:tcPr>
            <w:tcW w:w="2793" w:type="dxa"/>
          </w:tcPr>
          <w:p w14:paraId="23B46842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35988E5B" w14:textId="77777777" w:rsidTr="00001198">
        <w:tc>
          <w:tcPr>
            <w:tcW w:w="811" w:type="dxa"/>
          </w:tcPr>
          <w:p w14:paraId="1FF0E262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77297DAC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Software for camera control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0DC738E8" w14:textId="10D04CC0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Required</w:t>
            </w:r>
          </w:p>
        </w:tc>
        <w:tc>
          <w:tcPr>
            <w:tcW w:w="2793" w:type="dxa"/>
          </w:tcPr>
          <w:p w14:paraId="2EDED4DA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01AFFCB3" w14:textId="77777777" w:rsidTr="00001198">
        <w:tc>
          <w:tcPr>
            <w:tcW w:w="811" w:type="dxa"/>
          </w:tcPr>
          <w:p w14:paraId="389A06C3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0802282E" w14:textId="2D39140F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Cables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camera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connection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computer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55CC2F2C" w14:textId="55D948FE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Required</w:t>
            </w:r>
          </w:p>
        </w:tc>
        <w:tc>
          <w:tcPr>
            <w:tcW w:w="2793" w:type="dxa"/>
          </w:tcPr>
          <w:p w14:paraId="153A893F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0C4DB667" w14:textId="77777777" w:rsidTr="00001198">
        <w:tc>
          <w:tcPr>
            <w:tcW w:w="811" w:type="dxa"/>
          </w:tcPr>
          <w:p w14:paraId="577E0517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189627B1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Clamp filter for USB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537D5DBB" w14:textId="1421FED1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Required</w:t>
            </w:r>
          </w:p>
        </w:tc>
        <w:tc>
          <w:tcPr>
            <w:tcW w:w="2793" w:type="dxa"/>
          </w:tcPr>
          <w:p w14:paraId="0B81C420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18115BF6" w14:textId="77777777" w:rsidTr="00001198">
        <w:tc>
          <w:tcPr>
            <w:tcW w:w="811" w:type="dxa"/>
          </w:tcPr>
          <w:p w14:paraId="1C5B386E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72909179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Compatible USB 3.0 board for fast data transfer 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2F29D408" w14:textId="6AE38D8A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Required</w:t>
            </w:r>
          </w:p>
        </w:tc>
        <w:tc>
          <w:tcPr>
            <w:tcW w:w="2793" w:type="dxa"/>
          </w:tcPr>
          <w:p w14:paraId="72B80128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B7527" w:rsidRPr="001B7527" w14:paraId="632ED562" w14:textId="77777777" w:rsidTr="00001198">
        <w:tc>
          <w:tcPr>
            <w:tcW w:w="811" w:type="dxa"/>
          </w:tcPr>
          <w:p w14:paraId="4A878B97" w14:textId="77777777" w:rsidR="00001198" w:rsidRPr="001B7527" w:rsidRDefault="00001198" w:rsidP="00001198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01" w:type="dxa"/>
          </w:tcPr>
          <w:p w14:paraId="4D02F739" w14:textId="2636F934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Warranty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* </w:t>
            </w:r>
          </w:p>
        </w:tc>
        <w:tc>
          <w:tcPr>
            <w:tcW w:w="3223" w:type="dxa"/>
            <w:tcMar>
              <w:left w:w="0" w:type="dxa"/>
              <w:right w:w="0" w:type="dxa"/>
            </w:tcMar>
          </w:tcPr>
          <w:p w14:paraId="05D3179C" w14:textId="5CDC3044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least</w:t>
            </w:r>
            <w:proofErr w:type="spellEnd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 </w:t>
            </w:r>
            <w:proofErr w:type="spellStart"/>
            <w:r w:rsidRPr="001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2793" w:type="dxa"/>
          </w:tcPr>
          <w:p w14:paraId="0E3D5D3E" w14:textId="77777777" w:rsidR="00001198" w:rsidRPr="001B7527" w:rsidRDefault="00001198" w:rsidP="00D51FD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09D6A9" w14:textId="67847C9B" w:rsidR="00001198" w:rsidRPr="001B7527" w:rsidRDefault="00001198" w:rsidP="00F2412D">
      <w:pPr>
        <w:spacing w:after="0"/>
        <w:jc w:val="both"/>
        <w:rPr>
          <w:rFonts w:ascii="Arial" w:hAnsi="Arial" w:cs="Arial"/>
          <w:b/>
          <w:snapToGrid w:val="0"/>
          <w:color w:val="000000" w:themeColor="text1"/>
        </w:rPr>
      </w:pPr>
      <w:r w:rsidRPr="001B7527">
        <w:rPr>
          <w:rFonts w:ascii="Arial" w:hAnsi="Arial" w:cs="Arial"/>
          <w:b/>
          <w:snapToGrid w:val="0"/>
          <w:color w:val="000000" w:themeColor="text1"/>
        </w:rPr>
        <w:t>*</w:t>
      </w:r>
      <w:r w:rsidR="00CA3E7C">
        <w:rPr>
          <w:rFonts w:ascii="Arial" w:hAnsi="Arial" w:cs="Arial"/>
          <w:b/>
          <w:snapToGrid w:val="0"/>
          <w:color w:val="000000" w:themeColor="text1"/>
        </w:rPr>
        <w:t>*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Provide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technical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specifications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of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offered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equipment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,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excluding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those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marked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with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*,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along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with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reliable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supporting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documents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(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e.g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.,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manufacturer's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product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description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or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a link to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the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manufacturer's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Pr="001B7527">
        <w:rPr>
          <w:rFonts w:ascii="Arial" w:hAnsi="Arial" w:cs="Arial"/>
          <w:b/>
          <w:snapToGrid w:val="0"/>
          <w:color w:val="000000" w:themeColor="text1"/>
        </w:rPr>
        <w:t>website</w:t>
      </w:r>
      <w:proofErr w:type="spellEnd"/>
      <w:r w:rsidR="00237C24">
        <w:rPr>
          <w:rFonts w:ascii="Arial" w:hAnsi="Arial" w:cs="Arial"/>
          <w:b/>
          <w:snapToGrid w:val="0"/>
          <w:color w:val="000000" w:themeColor="text1"/>
        </w:rPr>
        <w:t xml:space="preserve">, </w:t>
      </w:r>
      <w:proofErr w:type="spellStart"/>
      <w:r w:rsidR="00237C24">
        <w:rPr>
          <w:rFonts w:ascii="Arial" w:hAnsi="Arial" w:cs="Arial"/>
          <w:b/>
          <w:snapToGrid w:val="0"/>
          <w:color w:val="000000" w:themeColor="text1"/>
        </w:rPr>
        <w:t>or</w:t>
      </w:r>
      <w:proofErr w:type="spellEnd"/>
      <w:r w:rsidR="00237C24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="00237C24">
        <w:rPr>
          <w:rFonts w:ascii="Arial" w:hAnsi="Arial" w:cs="Arial"/>
          <w:b/>
          <w:snapToGrid w:val="0"/>
          <w:color w:val="000000" w:themeColor="text1"/>
        </w:rPr>
        <w:t>othel</w:t>
      </w:r>
      <w:proofErr w:type="spellEnd"/>
      <w:r w:rsidR="00237C24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="00237C24">
        <w:rPr>
          <w:rFonts w:ascii="Arial" w:hAnsi="Arial" w:cs="Arial"/>
          <w:b/>
          <w:snapToGrid w:val="0"/>
          <w:color w:val="000000" w:themeColor="text1"/>
        </w:rPr>
        <w:t>equivalent</w:t>
      </w:r>
      <w:proofErr w:type="spellEnd"/>
      <w:r w:rsidR="00237C24">
        <w:rPr>
          <w:rFonts w:ascii="Arial" w:hAnsi="Arial" w:cs="Arial"/>
          <w:b/>
          <w:snapToGrid w:val="0"/>
          <w:color w:val="000000" w:themeColor="text1"/>
        </w:rPr>
        <w:t xml:space="preserve"> </w:t>
      </w:r>
      <w:proofErr w:type="spellStart"/>
      <w:r w:rsidR="00237C24">
        <w:rPr>
          <w:rFonts w:ascii="Arial" w:hAnsi="Arial" w:cs="Arial"/>
          <w:b/>
          <w:snapToGrid w:val="0"/>
          <w:color w:val="000000" w:themeColor="text1"/>
        </w:rPr>
        <w:t>documents</w:t>
      </w:r>
      <w:proofErr w:type="spellEnd"/>
      <w:r w:rsidRPr="001B7527">
        <w:rPr>
          <w:rFonts w:ascii="Arial" w:hAnsi="Arial" w:cs="Arial"/>
          <w:b/>
          <w:snapToGrid w:val="0"/>
          <w:color w:val="000000" w:themeColor="text1"/>
        </w:rPr>
        <w:t>).</w:t>
      </w:r>
    </w:p>
    <w:p w14:paraId="6AB2A820" w14:textId="77777777" w:rsidR="001B7527" w:rsidRPr="001B7527" w:rsidRDefault="001B7527">
      <w:pPr>
        <w:spacing w:after="0"/>
        <w:jc w:val="both"/>
        <w:rPr>
          <w:rFonts w:ascii="Arial" w:hAnsi="Arial" w:cs="Arial"/>
          <w:b/>
          <w:snapToGrid w:val="0"/>
          <w:color w:val="000000" w:themeColor="text1"/>
        </w:rPr>
      </w:pPr>
    </w:p>
    <w:sectPr w:rsidR="001B7527" w:rsidRPr="001B7527" w:rsidSect="00736515">
      <w:footerReference w:type="default" r:id="rId11"/>
      <w:headerReference w:type="first" r:id="rId12"/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94C9" w14:textId="77777777" w:rsidR="007B1832" w:rsidRDefault="007B1832" w:rsidP="00682323">
      <w:pPr>
        <w:spacing w:after="0" w:line="240" w:lineRule="auto"/>
      </w:pPr>
      <w:r>
        <w:separator/>
      </w:r>
    </w:p>
  </w:endnote>
  <w:endnote w:type="continuationSeparator" w:id="0">
    <w:p w14:paraId="65CAAD0A" w14:textId="77777777" w:rsidR="007B1832" w:rsidRDefault="007B1832" w:rsidP="0068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DC9A" w14:textId="77777777" w:rsidR="00682323" w:rsidRDefault="00682323">
    <w:pPr>
      <w:pStyle w:val="Footer"/>
    </w:pPr>
  </w:p>
  <w:p w14:paraId="2D81B5AC" w14:textId="77777777" w:rsidR="00682323" w:rsidRDefault="00682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3582" w14:textId="77777777" w:rsidR="007B1832" w:rsidRDefault="007B1832" w:rsidP="00682323">
      <w:pPr>
        <w:spacing w:after="0" w:line="240" w:lineRule="auto"/>
      </w:pPr>
      <w:r>
        <w:separator/>
      </w:r>
    </w:p>
  </w:footnote>
  <w:footnote w:type="continuationSeparator" w:id="0">
    <w:p w14:paraId="58A02FD2" w14:textId="77777777" w:rsidR="007B1832" w:rsidRDefault="007B1832" w:rsidP="00682323">
      <w:pPr>
        <w:spacing w:after="0" w:line="240" w:lineRule="auto"/>
      </w:pPr>
      <w:r>
        <w:continuationSeparator/>
      </w:r>
    </w:p>
  </w:footnote>
  <w:footnote w:id="1">
    <w:p w14:paraId="55A9BB04" w14:textId="77777777" w:rsidR="00D4588C" w:rsidRPr="009A1BE7" w:rsidRDefault="00D4588C" w:rsidP="00D4588C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9A1BE7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equivalent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purchase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object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considered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to be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one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whose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properties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are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not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inferior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i.e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.,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same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better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)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compared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requirements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specified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purchased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object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purchase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documents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proposed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equivalent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purchase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object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can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be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used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intended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purpose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without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any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restrictions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including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but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not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limited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following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>):</w:t>
      </w:r>
    </w:p>
    <w:p w14:paraId="032C16C3" w14:textId="68C93E9F" w:rsidR="00D4588C" w:rsidRPr="009A1BE7" w:rsidRDefault="00D4588C" w:rsidP="00D4588C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A1BE7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additional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modifications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interacting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components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are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required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>.</w:t>
      </w:r>
    </w:p>
    <w:p w14:paraId="2340193E" w14:textId="3E2C8E4F" w:rsidR="00D4588C" w:rsidRPr="009A1BE7" w:rsidRDefault="00D4588C" w:rsidP="00D4588C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use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will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not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result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faster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wear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failures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loss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warranty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interacting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components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>.</w:t>
      </w:r>
    </w:p>
    <w:p w14:paraId="61F8D9F2" w14:textId="6152A1C0" w:rsidR="00D4588C" w:rsidRPr="009A1BE7" w:rsidRDefault="00D4588C" w:rsidP="00D4588C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expected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service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life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not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shorter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>.</w:t>
      </w:r>
    </w:p>
    <w:p w14:paraId="57056CD0" w14:textId="63C917A3" w:rsidR="00D4588C" w:rsidRPr="009A1BE7" w:rsidRDefault="00D4588C" w:rsidP="00D4588C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9A1BE7">
        <w:rPr>
          <w:rFonts w:ascii="Times New Roman" w:hAnsi="Times New Roman" w:cs="Times New Roman"/>
          <w:sz w:val="16"/>
          <w:szCs w:val="16"/>
        </w:rPr>
        <w:t xml:space="preserve">It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not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inferior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terms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technical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advancement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>.</w:t>
      </w:r>
    </w:p>
    <w:p w14:paraId="4C23A4DD" w14:textId="6ADB9DD4" w:rsidR="00D4588C" w:rsidRPr="009A1BE7" w:rsidRDefault="00D4588C" w:rsidP="00D4588C">
      <w:pPr>
        <w:pStyle w:val="FootnoteText"/>
        <w:jc w:val="both"/>
      </w:pP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When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proposing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equivalent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purchase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object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, it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mandatory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provide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documents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proving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compliance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requirements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set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purchase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object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Such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documents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could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include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research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report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certificate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issued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by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conformity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assessment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body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established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Republic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Lithuania,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well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certificates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issued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by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equivalent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conformity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assessment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bodies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established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other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countries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If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Supplier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unable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obtain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specified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certificates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research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reports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due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circumstances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beyond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their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control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provides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objective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written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evidence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proving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proposed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equivalent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purchase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object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meets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requirements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criteria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specified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Technical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Specification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evaluation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criteria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offer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terms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purchase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agreement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Buyer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will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accept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other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suitable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measures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However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Supplier’s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self-declaration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without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specific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technical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evidence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will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not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be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considered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an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acceptable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measure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Buyer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reserves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right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conduct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a risk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assessment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danger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if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documents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submitted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prove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equivalence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proposed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goods</w:t>
      </w:r>
      <w:proofErr w:type="spellEnd"/>
      <w:r w:rsidRPr="009A1BE7">
        <w:rPr>
          <w:rFonts w:ascii="Times New Roman" w:hAnsi="Times New Roman" w:cs="Times New Roman"/>
          <w:sz w:val="16"/>
          <w:szCs w:val="16"/>
        </w:rPr>
        <w:t xml:space="preserve"> are </w:t>
      </w:r>
      <w:proofErr w:type="spellStart"/>
      <w:r w:rsidRPr="009A1BE7">
        <w:rPr>
          <w:rFonts w:ascii="Times New Roman" w:hAnsi="Times New Roman" w:cs="Times New Roman"/>
          <w:sz w:val="16"/>
          <w:szCs w:val="16"/>
        </w:rPr>
        <w:t>insufficient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9164" w14:textId="77777777" w:rsidR="00682323" w:rsidRPr="00682323" w:rsidRDefault="00682323" w:rsidP="00682323">
    <w:pPr>
      <w:pStyle w:val="Header"/>
      <w:jc w:val="right"/>
      <w:rPr>
        <w:rFonts w:ascii="Times New Roman" w:hAnsi="Times New Roman" w:cs="Times New Roman"/>
      </w:rPr>
    </w:pPr>
    <w:bookmarkStart w:id="3" w:name="_Hlk158215213"/>
    <w:bookmarkStart w:id="4" w:name="_Hlk158215214"/>
    <w:r w:rsidRPr="00682323">
      <w:rPr>
        <w:rFonts w:ascii="Times New Roman" w:hAnsi="Times New Roman" w:cs="Times New Roman"/>
      </w:rPr>
      <w:t>Specialiųjų sąlygų 1 priedas/ Kvietimo 1 priedas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745"/>
    <w:multiLevelType w:val="multilevel"/>
    <w:tmpl w:val="40A8C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05D26CE8"/>
    <w:multiLevelType w:val="hybridMultilevel"/>
    <w:tmpl w:val="89DAE54A"/>
    <w:lvl w:ilvl="0" w:tplc="0427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" w15:restartNumberingAfterBreak="0">
    <w:nsid w:val="0AE11630"/>
    <w:multiLevelType w:val="multilevel"/>
    <w:tmpl w:val="1AAC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9B6631"/>
    <w:multiLevelType w:val="multilevel"/>
    <w:tmpl w:val="3A6838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8E42E3"/>
    <w:multiLevelType w:val="hybridMultilevel"/>
    <w:tmpl w:val="6A5E0A5E"/>
    <w:lvl w:ilvl="0" w:tplc="47969AC8">
      <w:start w:val="2"/>
      <w:numFmt w:val="bullet"/>
      <w:lvlText w:val="·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2FE9"/>
    <w:multiLevelType w:val="hybridMultilevel"/>
    <w:tmpl w:val="7242DC3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7E65"/>
    <w:multiLevelType w:val="multilevel"/>
    <w:tmpl w:val="7A64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221759"/>
    <w:multiLevelType w:val="multilevel"/>
    <w:tmpl w:val="40A8C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E5574D"/>
    <w:multiLevelType w:val="multilevel"/>
    <w:tmpl w:val="0409001D"/>
    <w:numStyleLink w:val="Style1"/>
  </w:abstractNum>
  <w:abstractNum w:abstractNumId="9" w15:restartNumberingAfterBreak="0">
    <w:nsid w:val="2B4234D2"/>
    <w:multiLevelType w:val="multilevel"/>
    <w:tmpl w:val="19B2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3B7089"/>
    <w:multiLevelType w:val="hybridMultilevel"/>
    <w:tmpl w:val="2EE6727A"/>
    <w:lvl w:ilvl="0" w:tplc="A6907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251D55"/>
    <w:multiLevelType w:val="multilevel"/>
    <w:tmpl w:val="BEC04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5D13A1"/>
    <w:multiLevelType w:val="multilevel"/>
    <w:tmpl w:val="5CA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B6525A"/>
    <w:multiLevelType w:val="hybridMultilevel"/>
    <w:tmpl w:val="2F94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13937"/>
    <w:multiLevelType w:val="multilevel"/>
    <w:tmpl w:val="6D7A4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87F38F"/>
    <w:multiLevelType w:val="hybridMultilevel"/>
    <w:tmpl w:val="26C17B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03568B1"/>
    <w:multiLevelType w:val="multilevel"/>
    <w:tmpl w:val="51F0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5107C"/>
    <w:multiLevelType w:val="multilevel"/>
    <w:tmpl w:val="40A8C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B56433"/>
    <w:multiLevelType w:val="hybridMultilevel"/>
    <w:tmpl w:val="338A94A4"/>
    <w:lvl w:ilvl="0" w:tplc="F53A7962">
      <w:start w:val="2"/>
      <w:numFmt w:val="bullet"/>
      <w:lvlText w:val="·"/>
      <w:lvlJc w:val="left"/>
      <w:pPr>
        <w:ind w:left="870" w:hanging="51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F7F22"/>
    <w:multiLevelType w:val="hybridMultilevel"/>
    <w:tmpl w:val="E9946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D0713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2F1084A"/>
    <w:multiLevelType w:val="hybridMultilevel"/>
    <w:tmpl w:val="75B65E32"/>
    <w:lvl w:ilvl="0" w:tplc="A91E9952">
      <w:start w:val="2"/>
      <w:numFmt w:val="bullet"/>
      <w:lvlText w:val="·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7A1A"/>
    <w:multiLevelType w:val="hybridMultilevel"/>
    <w:tmpl w:val="16168ED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F5F3F"/>
    <w:multiLevelType w:val="multilevel"/>
    <w:tmpl w:val="661E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F2555C"/>
    <w:multiLevelType w:val="multilevel"/>
    <w:tmpl w:val="BEC04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5B35B4"/>
    <w:multiLevelType w:val="hybridMultilevel"/>
    <w:tmpl w:val="099E2D8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35213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3E314FA"/>
    <w:multiLevelType w:val="hybridMultilevel"/>
    <w:tmpl w:val="2F7AEA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7577D"/>
    <w:multiLevelType w:val="multilevel"/>
    <w:tmpl w:val="40A8C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955AEB"/>
    <w:multiLevelType w:val="hybridMultilevel"/>
    <w:tmpl w:val="7FC0815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775CE"/>
    <w:multiLevelType w:val="multilevel"/>
    <w:tmpl w:val="40A8C7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24"/>
  </w:num>
  <w:num w:numId="5">
    <w:abstractNumId w:val="2"/>
  </w:num>
  <w:num w:numId="6">
    <w:abstractNumId w:val="11"/>
  </w:num>
  <w:num w:numId="7">
    <w:abstractNumId w:val="17"/>
  </w:num>
  <w:num w:numId="8">
    <w:abstractNumId w:val="0"/>
  </w:num>
  <w:num w:numId="9">
    <w:abstractNumId w:val="28"/>
  </w:num>
  <w:num w:numId="10">
    <w:abstractNumId w:val="7"/>
  </w:num>
  <w:num w:numId="11">
    <w:abstractNumId w:val="30"/>
  </w:num>
  <w:num w:numId="12">
    <w:abstractNumId w:val="16"/>
  </w:num>
  <w:num w:numId="13">
    <w:abstractNumId w:val="1"/>
  </w:num>
  <w:num w:numId="14">
    <w:abstractNumId w:val="5"/>
  </w:num>
  <w:num w:numId="15">
    <w:abstractNumId w:val="18"/>
  </w:num>
  <w:num w:numId="16">
    <w:abstractNumId w:val="29"/>
  </w:num>
  <w:num w:numId="17">
    <w:abstractNumId w:val="21"/>
  </w:num>
  <w:num w:numId="18">
    <w:abstractNumId w:val="25"/>
  </w:num>
  <w:num w:numId="19">
    <w:abstractNumId w:val="4"/>
  </w:num>
  <w:num w:numId="20">
    <w:abstractNumId w:val="22"/>
  </w:num>
  <w:num w:numId="21">
    <w:abstractNumId w:val="27"/>
  </w:num>
  <w:num w:numId="22">
    <w:abstractNumId w:val="12"/>
  </w:num>
  <w:num w:numId="23">
    <w:abstractNumId w:val="23"/>
  </w:num>
  <w:num w:numId="24">
    <w:abstractNumId w:val="9"/>
  </w:num>
  <w:num w:numId="25">
    <w:abstractNumId w:val="6"/>
  </w:num>
  <w:num w:numId="26">
    <w:abstractNumId w:val="26"/>
  </w:num>
  <w:num w:numId="27">
    <w:abstractNumId w:val="8"/>
  </w:num>
  <w:num w:numId="28">
    <w:abstractNumId w:val="15"/>
  </w:num>
  <w:num w:numId="29">
    <w:abstractNumId w:val="13"/>
  </w:num>
  <w:num w:numId="30">
    <w:abstractNumId w:val="1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48"/>
    <w:rsid w:val="00001198"/>
    <w:rsid w:val="0000292B"/>
    <w:rsid w:val="00003274"/>
    <w:rsid w:val="0002600C"/>
    <w:rsid w:val="000273D2"/>
    <w:rsid w:val="0004663F"/>
    <w:rsid w:val="00046A16"/>
    <w:rsid w:val="00052472"/>
    <w:rsid w:val="00070A2D"/>
    <w:rsid w:val="00071D9F"/>
    <w:rsid w:val="000749F2"/>
    <w:rsid w:val="00094A35"/>
    <w:rsid w:val="000A21A7"/>
    <w:rsid w:val="000A41ED"/>
    <w:rsid w:val="000B2DF2"/>
    <w:rsid w:val="000C6221"/>
    <w:rsid w:val="000D7129"/>
    <w:rsid w:val="000E2D60"/>
    <w:rsid w:val="000F405C"/>
    <w:rsid w:val="00104578"/>
    <w:rsid w:val="00114209"/>
    <w:rsid w:val="00114A58"/>
    <w:rsid w:val="001164D5"/>
    <w:rsid w:val="00121DF9"/>
    <w:rsid w:val="001277A9"/>
    <w:rsid w:val="00130DCD"/>
    <w:rsid w:val="00134EB3"/>
    <w:rsid w:val="00167EA2"/>
    <w:rsid w:val="00171128"/>
    <w:rsid w:val="00183393"/>
    <w:rsid w:val="001A7E68"/>
    <w:rsid w:val="001B7527"/>
    <w:rsid w:val="001C3C4B"/>
    <w:rsid w:val="001F3DD7"/>
    <w:rsid w:val="00205386"/>
    <w:rsid w:val="00206CF9"/>
    <w:rsid w:val="00212FAB"/>
    <w:rsid w:val="002230A5"/>
    <w:rsid w:val="00225AA6"/>
    <w:rsid w:val="00237C24"/>
    <w:rsid w:val="00237EE9"/>
    <w:rsid w:val="00245CBF"/>
    <w:rsid w:val="00277AAE"/>
    <w:rsid w:val="00280CCF"/>
    <w:rsid w:val="00285F0C"/>
    <w:rsid w:val="00291187"/>
    <w:rsid w:val="002933C3"/>
    <w:rsid w:val="002C4223"/>
    <w:rsid w:val="002D3492"/>
    <w:rsid w:val="002D4370"/>
    <w:rsid w:val="002D47ED"/>
    <w:rsid w:val="002D5BBD"/>
    <w:rsid w:val="002E09D6"/>
    <w:rsid w:val="003059D7"/>
    <w:rsid w:val="00306503"/>
    <w:rsid w:val="00314040"/>
    <w:rsid w:val="00325C64"/>
    <w:rsid w:val="0034618E"/>
    <w:rsid w:val="00366554"/>
    <w:rsid w:val="0038363F"/>
    <w:rsid w:val="00387BEF"/>
    <w:rsid w:val="003A139E"/>
    <w:rsid w:val="003B4ED6"/>
    <w:rsid w:val="003D4EE1"/>
    <w:rsid w:val="003F06DD"/>
    <w:rsid w:val="0043073D"/>
    <w:rsid w:val="0043334F"/>
    <w:rsid w:val="0043726E"/>
    <w:rsid w:val="0045100D"/>
    <w:rsid w:val="00455D3D"/>
    <w:rsid w:val="00457A38"/>
    <w:rsid w:val="0046287C"/>
    <w:rsid w:val="00482CF9"/>
    <w:rsid w:val="00487A0D"/>
    <w:rsid w:val="004A0C48"/>
    <w:rsid w:val="004A5BDE"/>
    <w:rsid w:val="004A7817"/>
    <w:rsid w:val="004A7824"/>
    <w:rsid w:val="004B2AEE"/>
    <w:rsid w:val="004B55FF"/>
    <w:rsid w:val="004C0120"/>
    <w:rsid w:val="004C22B2"/>
    <w:rsid w:val="004D322C"/>
    <w:rsid w:val="004D6148"/>
    <w:rsid w:val="004D7ECA"/>
    <w:rsid w:val="004F23CD"/>
    <w:rsid w:val="004F604F"/>
    <w:rsid w:val="00511778"/>
    <w:rsid w:val="00512E4E"/>
    <w:rsid w:val="00547581"/>
    <w:rsid w:val="00554709"/>
    <w:rsid w:val="005900D8"/>
    <w:rsid w:val="00593AAB"/>
    <w:rsid w:val="005A0A62"/>
    <w:rsid w:val="005B21AE"/>
    <w:rsid w:val="005C460D"/>
    <w:rsid w:val="005C4B5A"/>
    <w:rsid w:val="005E1731"/>
    <w:rsid w:val="005F4615"/>
    <w:rsid w:val="005F49B2"/>
    <w:rsid w:val="005F4D06"/>
    <w:rsid w:val="006044BC"/>
    <w:rsid w:val="00615413"/>
    <w:rsid w:val="0062173D"/>
    <w:rsid w:val="00625A76"/>
    <w:rsid w:val="00682323"/>
    <w:rsid w:val="00690259"/>
    <w:rsid w:val="006A442A"/>
    <w:rsid w:val="006B726E"/>
    <w:rsid w:val="006B796A"/>
    <w:rsid w:val="006C00A1"/>
    <w:rsid w:val="006C7A0E"/>
    <w:rsid w:val="006E1D1A"/>
    <w:rsid w:val="006E2C05"/>
    <w:rsid w:val="006E302E"/>
    <w:rsid w:val="006E5A26"/>
    <w:rsid w:val="006F032D"/>
    <w:rsid w:val="006F7F3C"/>
    <w:rsid w:val="007008CC"/>
    <w:rsid w:val="0070330A"/>
    <w:rsid w:val="007249E8"/>
    <w:rsid w:val="00736515"/>
    <w:rsid w:val="007431B1"/>
    <w:rsid w:val="00753F49"/>
    <w:rsid w:val="00776382"/>
    <w:rsid w:val="007828EC"/>
    <w:rsid w:val="00785058"/>
    <w:rsid w:val="007B03FE"/>
    <w:rsid w:val="007B1832"/>
    <w:rsid w:val="007B5B1C"/>
    <w:rsid w:val="007B6AAC"/>
    <w:rsid w:val="007C0D15"/>
    <w:rsid w:val="007C19E2"/>
    <w:rsid w:val="007C3AF7"/>
    <w:rsid w:val="007C756E"/>
    <w:rsid w:val="007D0340"/>
    <w:rsid w:val="007F38C4"/>
    <w:rsid w:val="0080427E"/>
    <w:rsid w:val="0081320D"/>
    <w:rsid w:val="00817878"/>
    <w:rsid w:val="00824BB5"/>
    <w:rsid w:val="00862199"/>
    <w:rsid w:val="00863FEA"/>
    <w:rsid w:val="00890D83"/>
    <w:rsid w:val="00894365"/>
    <w:rsid w:val="008B56E2"/>
    <w:rsid w:val="008B703A"/>
    <w:rsid w:val="009206AE"/>
    <w:rsid w:val="009207F3"/>
    <w:rsid w:val="00930BFC"/>
    <w:rsid w:val="00942A1D"/>
    <w:rsid w:val="00944DAD"/>
    <w:rsid w:val="0095218E"/>
    <w:rsid w:val="00963CBD"/>
    <w:rsid w:val="0098149B"/>
    <w:rsid w:val="009822D6"/>
    <w:rsid w:val="00984F2A"/>
    <w:rsid w:val="009869E6"/>
    <w:rsid w:val="009A1BE7"/>
    <w:rsid w:val="009A4D65"/>
    <w:rsid w:val="009C0305"/>
    <w:rsid w:val="00A00C87"/>
    <w:rsid w:val="00A01C6F"/>
    <w:rsid w:val="00A0347D"/>
    <w:rsid w:val="00A03AB8"/>
    <w:rsid w:val="00A077F3"/>
    <w:rsid w:val="00A27FB5"/>
    <w:rsid w:val="00A31429"/>
    <w:rsid w:val="00A34DC9"/>
    <w:rsid w:val="00A53524"/>
    <w:rsid w:val="00A6256B"/>
    <w:rsid w:val="00A729FB"/>
    <w:rsid w:val="00A73928"/>
    <w:rsid w:val="00A74143"/>
    <w:rsid w:val="00A7651F"/>
    <w:rsid w:val="00A9306F"/>
    <w:rsid w:val="00A9624F"/>
    <w:rsid w:val="00AA6D6F"/>
    <w:rsid w:val="00AB5E91"/>
    <w:rsid w:val="00AF6B48"/>
    <w:rsid w:val="00B00883"/>
    <w:rsid w:val="00B06A26"/>
    <w:rsid w:val="00B06E6A"/>
    <w:rsid w:val="00B12E41"/>
    <w:rsid w:val="00B1437B"/>
    <w:rsid w:val="00B26C0E"/>
    <w:rsid w:val="00B31E80"/>
    <w:rsid w:val="00B416B5"/>
    <w:rsid w:val="00B450D9"/>
    <w:rsid w:val="00B46129"/>
    <w:rsid w:val="00B50AE0"/>
    <w:rsid w:val="00B5651D"/>
    <w:rsid w:val="00B56BC8"/>
    <w:rsid w:val="00B56BD0"/>
    <w:rsid w:val="00B62F69"/>
    <w:rsid w:val="00B66FF7"/>
    <w:rsid w:val="00B70B00"/>
    <w:rsid w:val="00B776C0"/>
    <w:rsid w:val="00B86484"/>
    <w:rsid w:val="00B87E66"/>
    <w:rsid w:val="00B961AA"/>
    <w:rsid w:val="00BA49F7"/>
    <w:rsid w:val="00BB0979"/>
    <w:rsid w:val="00BF270C"/>
    <w:rsid w:val="00C00D72"/>
    <w:rsid w:val="00C04C19"/>
    <w:rsid w:val="00C15FD0"/>
    <w:rsid w:val="00C31511"/>
    <w:rsid w:val="00C344D3"/>
    <w:rsid w:val="00C438AC"/>
    <w:rsid w:val="00C55B15"/>
    <w:rsid w:val="00C71538"/>
    <w:rsid w:val="00C73886"/>
    <w:rsid w:val="00C81096"/>
    <w:rsid w:val="00C93D08"/>
    <w:rsid w:val="00CA3E7C"/>
    <w:rsid w:val="00CB62D2"/>
    <w:rsid w:val="00CC3B99"/>
    <w:rsid w:val="00CC3CBA"/>
    <w:rsid w:val="00CC67E6"/>
    <w:rsid w:val="00D050D6"/>
    <w:rsid w:val="00D11CA9"/>
    <w:rsid w:val="00D1284F"/>
    <w:rsid w:val="00D4041B"/>
    <w:rsid w:val="00D4588C"/>
    <w:rsid w:val="00D511B5"/>
    <w:rsid w:val="00D652C3"/>
    <w:rsid w:val="00D66E01"/>
    <w:rsid w:val="00D942D2"/>
    <w:rsid w:val="00DB0D52"/>
    <w:rsid w:val="00DB7B5F"/>
    <w:rsid w:val="00DC2C6A"/>
    <w:rsid w:val="00DC79E6"/>
    <w:rsid w:val="00DE0C61"/>
    <w:rsid w:val="00DF47C3"/>
    <w:rsid w:val="00DF4815"/>
    <w:rsid w:val="00DF6A30"/>
    <w:rsid w:val="00E11615"/>
    <w:rsid w:val="00E17DA2"/>
    <w:rsid w:val="00E223CB"/>
    <w:rsid w:val="00E231AF"/>
    <w:rsid w:val="00E30CF3"/>
    <w:rsid w:val="00E31578"/>
    <w:rsid w:val="00E35870"/>
    <w:rsid w:val="00E416AB"/>
    <w:rsid w:val="00E43611"/>
    <w:rsid w:val="00E51A27"/>
    <w:rsid w:val="00E53871"/>
    <w:rsid w:val="00E71818"/>
    <w:rsid w:val="00E76182"/>
    <w:rsid w:val="00E80B1A"/>
    <w:rsid w:val="00E862DF"/>
    <w:rsid w:val="00E8735F"/>
    <w:rsid w:val="00E94EC5"/>
    <w:rsid w:val="00EC1B91"/>
    <w:rsid w:val="00ED12EB"/>
    <w:rsid w:val="00ED1C61"/>
    <w:rsid w:val="00EE29B1"/>
    <w:rsid w:val="00EE3FBE"/>
    <w:rsid w:val="00EF7DF5"/>
    <w:rsid w:val="00F03619"/>
    <w:rsid w:val="00F10687"/>
    <w:rsid w:val="00F23F4F"/>
    <w:rsid w:val="00F2412D"/>
    <w:rsid w:val="00F2713A"/>
    <w:rsid w:val="00F33669"/>
    <w:rsid w:val="00F45B14"/>
    <w:rsid w:val="00F47659"/>
    <w:rsid w:val="00F558F0"/>
    <w:rsid w:val="00F56D90"/>
    <w:rsid w:val="00F63246"/>
    <w:rsid w:val="00F63A4D"/>
    <w:rsid w:val="00F674FF"/>
    <w:rsid w:val="00F80412"/>
    <w:rsid w:val="00F83FAA"/>
    <w:rsid w:val="00FB1ABF"/>
    <w:rsid w:val="00FB221D"/>
    <w:rsid w:val="00FB290E"/>
    <w:rsid w:val="00FC3A93"/>
    <w:rsid w:val="00FD52ED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CFD26E"/>
  <w15:chartTrackingRefBased/>
  <w15:docId w15:val="{5D70EAC5-1CE3-4B51-8D44-66543001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0C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2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2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23"/>
  </w:style>
  <w:style w:type="paragraph" w:styleId="Footer">
    <w:name w:val="footer"/>
    <w:basedOn w:val="Normal"/>
    <w:link w:val="FooterChar"/>
    <w:uiPriority w:val="99"/>
    <w:unhideWhenUsed/>
    <w:rsid w:val="00682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23"/>
  </w:style>
  <w:style w:type="paragraph" w:styleId="FootnoteText">
    <w:name w:val="footnote text"/>
    <w:basedOn w:val="Normal"/>
    <w:link w:val="FootnoteTextChar"/>
    <w:uiPriority w:val="99"/>
    <w:unhideWhenUsed/>
    <w:rsid w:val="00455D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5D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5D3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1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Normal"/>
    <w:rsid w:val="00E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DefaultParagraphFont"/>
    <w:rsid w:val="00E862DF"/>
  </w:style>
  <w:style w:type="character" w:customStyle="1" w:styleId="normaltextrun">
    <w:name w:val="normaltextrun"/>
    <w:basedOn w:val="DefaultParagraphFont"/>
    <w:rsid w:val="00E862DF"/>
  </w:style>
  <w:style w:type="numbering" w:customStyle="1" w:styleId="Style1">
    <w:name w:val="Style1"/>
    <w:uiPriority w:val="99"/>
    <w:rsid w:val="00A27FB5"/>
    <w:pPr>
      <w:numPr>
        <w:numId w:val="26"/>
      </w:numPr>
    </w:pPr>
  </w:style>
  <w:style w:type="paragraph" w:customStyle="1" w:styleId="Default">
    <w:name w:val="Default"/>
    <w:rsid w:val="00CC3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3E5F-1BCB-4C32-95BE-554F225DD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E8E6B-5E4B-441D-AAE6-119040DFC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7AF14-0F37-4EF4-BEA7-6B68B34DC2EB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EE817D7E-6E60-4D1A-A0D7-640CF032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Laukienė</dc:creator>
  <cp:keywords/>
  <dc:description/>
  <cp:lastModifiedBy>Vilija Kazanavičiūtė</cp:lastModifiedBy>
  <cp:revision>19</cp:revision>
  <dcterms:created xsi:type="dcterms:W3CDTF">2025-10-06T07:04:00Z</dcterms:created>
  <dcterms:modified xsi:type="dcterms:W3CDTF">2025-10-30T16:29:00Z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GrammarlyDocumentId">
    <vt:lpwstr>66354f025e370e33dd84fa80ea78b0b8822a808fa3bb437b77476dd561ccda1c</vt:lpwstr>
  </property>
</Properties>
</file>