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749667BD"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i/>
          <w:sz w:val="22"/>
        </w:rPr>
        <w:t xml:space="preserve">Annex </w:t>
      </w:r>
      <w:r w:rsidR="001C3C5D">
        <w:rPr>
          <w:rFonts w:ascii="Arial" w:hAnsi="Arial"/>
          <w:i/>
          <w:sz w:val="22"/>
        </w:rPr>
        <w:t>4</w:t>
      </w:r>
      <w:r>
        <w:rPr>
          <w:rFonts w:ascii="Arial" w:hAnsi="Arial"/>
          <w:i/>
          <w:sz w:val="22"/>
        </w:rPr>
        <w:t xml:space="preserve"> to the Specific Conditions for Procurement ‘Grounds for Economic Operators’ Exclusion’</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Pr>
          <w:rFonts w:ascii="Arial" w:hAnsi="Arial"/>
          <w:b/>
          <w:color w:val="auto"/>
          <w:sz w:val="22"/>
        </w:rPr>
        <w:t>GROUNDS FOR ECONOMIC OPERATORS’ EXCLUSION</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economic operator participating in the procurement must prove that there are no grounds for its exclusion set out in the table in this Annex</w:t>
      </w:r>
      <w:r>
        <w:rPr>
          <w:rStyle w:val="ui-provider"/>
          <w:rFonts w:ascii="Arial" w:hAnsi="Arial"/>
          <w:sz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Only the ESPD shall be submitted with the tender. The ESPD form is presented in a separate Annex to the procurement documents (the ESPD is filled in after uploading it to the European Commission’s website at </w:t>
      </w:r>
      <w:hyperlink r:id="rId11" w:history="1">
        <w:r>
          <w:rPr>
            <w:rStyle w:val="Hyperlink"/>
            <w:rFonts w:ascii="Arial" w:hAnsi="Arial"/>
            <w:sz w:val="22"/>
            <w:shd w:val="clear" w:color="auto" w:fill="FFFFFF"/>
          </w:rPr>
          <w:t>http://ebvpd.eviesiejipirkimai.lt/espd-web/</w:t>
        </w:r>
      </w:hyperlink>
      <w:r>
        <w:rPr>
          <w:rStyle w:val="normaltextrun"/>
          <w:rFonts w:ascii="Arial" w:hAnsi="Arial"/>
          <w:color w:val="000000"/>
          <w:sz w:val="22"/>
          <w:shd w:val="clear" w:color="auto" w:fill="FFFFFF"/>
        </w:rPr>
        <w:t xml:space="preserve"> and the filled-in and downloaded form is submitted alongside the tender).</w:t>
      </w:r>
      <w:r>
        <w:rPr>
          <w:rStyle w:val="eop"/>
          <w:rFonts w:ascii="Arial" w:hAnsi="Arial"/>
          <w:color w:val="000000"/>
          <w:sz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contracting authority does not require the submission of documents proving the absence of the grounds for exclusion set out in the table with the tender or application. These documents are only requested from the economic operator who submitted the most economically advantageous tender before identifying the successful tender. The contracting authority reserves the right to ask tenderers at any time during the procurement procedure to provide all or part of the documents proving the absence of the grounds for their exclusion if this is necessary to ensure the proper conduct of the procurement.</w:t>
      </w:r>
      <w:r>
        <w:rPr>
          <w:rStyle w:val="eop"/>
          <w:rFonts w:ascii="Arial" w:hAnsi="Arial"/>
          <w:color w:val="000000"/>
          <w:sz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grounds for exclusion shall apply to the economic operator (where the tender is made by a group of economic operators – to all members of that group) and to economic entities the capacities of which are relied on by the economic operator. </w:t>
      </w:r>
      <w:r>
        <w:rPr>
          <w:rStyle w:val="eop"/>
          <w:rFonts w:ascii="Arial" w:hAnsi="Arial"/>
          <w:color w:val="000000"/>
          <w:sz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At any time during a procurement procedure, the contracting authority shall exclude an economic operator from participation in the procurement procedure where it turns out that it conforms, in view of acts committed or omitted either before or during the procedure, to at least one of the economic operator’s exclusion grounds specified in the procurement documents, except for cases indicated in Article 46(10) of the LPP (but taking into account the provisions of Articles 46(11) and 46(12) of the LPP) and when the circumstances referred to in Article 46(3) arise. </w:t>
      </w:r>
      <w:r>
        <w:rPr>
          <w:rStyle w:val="eop"/>
          <w:rFonts w:ascii="Arial" w:hAnsi="Arial"/>
          <w:color w:val="000000"/>
          <w:sz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When deciding on the exclusion of an economic operator from the procurement procedure on the grounds of exclusion referred to in Article 46(4) and 46(6) of the LPP, the contracting authority shall take into account whether, in assessing the reliability of the economic operator, the exclusion of the economic operator from the procurement procedure is proportionate to the evaluated conduct of the economic operator, and in the case of Article 46(4)(7)(c) of the LPP, whether the application of this ground for exclusion from the procurement procedure would not significantly restrict competition. When taking decisions on the exclusion of the economic operator from the procurement procedure on the grounds for exclusion indicated in Articles 46(4)(4) and 46(4)(6) of the LPP, the information published following Articles 52 and 91 of the LPP may also be taken into account.</w:t>
      </w:r>
      <w:r>
        <w:rPr>
          <w:rStyle w:val="eop"/>
          <w:rFonts w:ascii="Arial" w:hAnsi="Arial"/>
          <w:color w:val="000000"/>
          <w:sz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contracting authority shall require primarily such types of certificates and forms of documentary evidence that are covered by the online repository of documents established by the European Commission, namely, e-</w:t>
      </w:r>
      <w:proofErr w:type="spellStart"/>
      <w:r>
        <w:rPr>
          <w:rStyle w:val="normaltextrun"/>
          <w:rFonts w:ascii="Arial" w:hAnsi="Arial"/>
          <w:color w:val="000000"/>
          <w:sz w:val="22"/>
          <w:shd w:val="clear" w:color="auto" w:fill="FFFFFF"/>
        </w:rPr>
        <w:t>Certis</w:t>
      </w:r>
      <w:proofErr w:type="spellEnd"/>
      <w:r>
        <w:rPr>
          <w:rStyle w:val="normaltextrun"/>
          <w:rFonts w:ascii="Arial" w:hAnsi="Arial"/>
          <w:color w:val="000000"/>
          <w:sz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contracting authority shall not require the economic operator to provide documentation proving the absence of grounds for exclusion if it:</w:t>
      </w:r>
      <w:r>
        <w:rPr>
          <w:rStyle w:val="eop"/>
          <w:rFonts w:ascii="Arial" w:hAnsi="Arial"/>
          <w:color w:val="000000"/>
          <w:sz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has the possibility of obtaining these documents or the relevant information directly by accessing a national database in any Member State that is available free of charge or by using the Central Portal of Public Procurement Information System;</w:t>
      </w:r>
      <w:r>
        <w:rPr>
          <w:rStyle w:val="eop"/>
          <w:rFonts w:ascii="Arial" w:hAnsi="Arial"/>
          <w:color w:val="000000"/>
          <w:sz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Pr>
          <w:rStyle w:val="normaltextrun"/>
          <w:rFonts w:ascii="Arial" w:hAnsi="Arial"/>
          <w:color w:val="000000"/>
          <w:sz w:val="22"/>
          <w:shd w:val="clear" w:color="auto" w:fill="FFFFFF"/>
        </w:rPr>
        <w:t>these documents are already available to it from previous procurement procedures if the information contained in these documents is still relevant (the document was issued no more than the number of days indicated in the relevant row of the table below);</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Where the economic operator is unable to submit the specified documents proving that there are no grounds for exclusion provided for in Articles 46(1) and 46(3) and 46(6)(2) of the </w:t>
      </w:r>
      <w:r>
        <w:rPr>
          <w:rStyle w:val="normaltextrun"/>
          <w:rFonts w:ascii="Arial" w:hAnsi="Arial"/>
          <w:color w:val="000000"/>
          <w:sz w:val="22"/>
          <w:shd w:val="clear" w:color="auto" w:fill="FFFFFF"/>
        </w:rPr>
        <w:lastRenderedPageBreak/>
        <w:t>LPP, because the Member State or the country in question does not issue such documents, or where the documents issued therein do not cover all the cases specified in Articles 46(1) and 46(3) and 46(6)(2), they may be replaced by:</w:t>
      </w:r>
      <w:r>
        <w:rPr>
          <w:rStyle w:val="eop"/>
          <w:rFonts w:ascii="Arial" w:hAnsi="Arial"/>
          <w:color w:val="000000"/>
          <w:sz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a declaration on oath;</w:t>
      </w:r>
      <w:r>
        <w:rPr>
          <w:rStyle w:val="eop"/>
          <w:rFonts w:ascii="Arial" w:hAnsi="Arial"/>
          <w:color w:val="000000"/>
          <w:sz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Pr>
          <w:rStyle w:val="normaltextrun"/>
          <w:rFonts w:ascii="Arial" w:hAnsi="Arial"/>
          <w:color w:val="000000"/>
          <w:sz w:val="22"/>
          <w:shd w:val="clear" w:color="auto" w:fill="FFFFFF"/>
        </w:rPr>
        <w:t>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r>
        <w:rPr>
          <w:rStyle w:val="eop"/>
          <w:rFonts w:ascii="Arial" w:hAnsi="Arial"/>
          <w:color w:val="000000"/>
          <w:sz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Pr>
          <w:rFonts w:ascii="Arial" w:hAnsi="Arial"/>
          <w:sz w:val="22"/>
        </w:rPr>
        <w:t xml:space="preserve">The grounds for exclusion do not apply to: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Pr>
          <w:rFonts w:ascii="Arial" w:hAnsi="Arial"/>
          <w:sz w:val="22"/>
        </w:rPr>
        <w:t>10.1. subcontractors whose capacities are not relied on by the economic operator (unless otherwise specified in the specific conditions);</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Pr>
          <w:rFonts w:ascii="Arial" w:hAnsi="Arial"/>
          <w:sz w:val="22"/>
        </w:rPr>
        <w:t>10.2. natural persons (specialists) whose capacities are relied on by the economic operator based on Article 49 of the LPP and whom, in the event of a successful tender, the economic operator intends to employ (</w:t>
      </w:r>
      <w:proofErr w:type="spellStart"/>
      <w:r>
        <w:rPr>
          <w:rFonts w:ascii="Arial" w:hAnsi="Arial"/>
          <w:sz w:val="22"/>
        </w:rPr>
        <w:t>quasisubcontractors</w:t>
      </w:r>
      <w:proofErr w:type="spellEnd"/>
      <w:r>
        <w:rPr>
          <w:rFonts w:ascii="Arial" w:hAnsi="Arial"/>
          <w:sz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rPr>
            </w:pPr>
            <w:r>
              <w:rPr>
                <w:rFonts w:ascii="Arial" w:hAnsi="Arial"/>
                <w:b/>
                <w:sz w:val="22"/>
              </w:rPr>
              <w:lastRenderedPageBreak/>
              <w:t>Entry No.</w:t>
            </w:r>
            <w:r>
              <w:rPr>
                <w:rFonts w:ascii="Arial" w:hAnsi="Arial"/>
                <w:sz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b/>
                <w:sz w:val="22"/>
              </w:rPr>
              <w:t>Grounds for economic operators’ exclusion</w:t>
            </w:r>
            <w:r>
              <w:rPr>
                <w:rFonts w:ascii="Arial" w:hAnsi="Arial"/>
                <w:sz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rPr>
            </w:pPr>
            <w:r>
              <w:rPr>
                <w:rFonts w:ascii="Arial" w:hAnsi="Arial"/>
                <w:b/>
                <w:sz w:val="22"/>
              </w:rPr>
              <w:t>References to the relevant provision of the LPP and the part of the ESPD form to be completed</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b/>
                <w:sz w:val="22"/>
              </w:rPr>
              <w:t>Documents proving the absence of grounds for exclusion</w:t>
            </w:r>
            <w:r>
              <w:rPr>
                <w:rFonts w:ascii="Arial" w:hAnsi="Arial"/>
                <w:sz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 xml:space="preserve">Participation in a criminal association </w:t>
            </w:r>
          </w:p>
          <w:p w14:paraId="59D8AD0D"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Corruption</w:t>
            </w:r>
          </w:p>
          <w:p w14:paraId="6873C242"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Fraud</w:t>
            </w:r>
          </w:p>
          <w:p w14:paraId="3BF04574"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Terrorist crimes or crimes linked to terrorist activities</w:t>
            </w:r>
          </w:p>
          <w:p w14:paraId="0BA54710"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Money laundering or financing of terrorists</w:t>
            </w:r>
          </w:p>
          <w:p w14:paraId="08C64233" w14:textId="5EA3F512" w:rsidR="00560600" w:rsidRPr="009866D1" w:rsidRDefault="009866D1" w:rsidP="009866D1">
            <w:pPr>
              <w:spacing w:after="0"/>
              <w:rPr>
                <w:rFonts w:eastAsia="Times New Roman"/>
                <w:sz w:val="24"/>
                <w:szCs w:val="24"/>
              </w:rPr>
            </w:pPr>
            <w:r>
              <w:rPr>
                <w:rFonts w:ascii="Arial" w:hAnsi="Arial"/>
                <w:b/>
                <w:sz w:val="24"/>
              </w:rPr>
              <w:t>Child labour and other forms of human trafficking</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or their responsible person has been convicted of the following criminal acts: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participation in a criminal association, its organisation or being in charge thereof;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bribery, trading in influence, graft;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3) 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4) criminal bankruptcy;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5) terrorist crime or crime linked to terrorist activities;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lastRenderedPageBreak/>
              <w:t>6) laundering of property as proceeds from crime;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7) trafficking in human beings, purchase or sale of a child;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8) a crime committed by an economic operator of another state, as defined in the legal acts of other states implementing the European Union legal acts listed in Article 57(1) of Directive 2014/24/EU.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or its responsible person shall be deemed to have been convicted of an aforementioned criminal act where: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a judgement of conviction has been passed and become effective over the past five years against the economic operator being a natural person and this person has an unspent or unexpunged conviction;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a judgement of conviction has been passed and become effective over the past five years against the manager of the economic operator being a legal person, another organisation or a structural unit thereof, or other person/persons authorised to draw up and sign the economic operator’s accounting documents and this person has an unspent or unexpunged conviction;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or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lastRenderedPageBreak/>
              <w:t>3) a judgement of conviction has been passed and become effective over the past five years against the economic operator being a legal person, another organisation or a structural unit thereof or, in the case of Article 46(3) of the LPP, an administrative decision having final effect, if such decision is made in accordance with the legal provisions of the country of the economic operator.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46(1) of the LPP</w:t>
            </w:r>
            <w:r>
              <w:rPr>
                <w:rFonts w:ascii="Arial" w:hAnsi="Arial"/>
                <w:sz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A1–A6 of Part III of the ESPD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D1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require the economic operators to provide certificates proving the absence of the grounds for exclusion if it has reasonable doubts as to the reliability of those economic operators.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entities established in Lithuania will be required to provide: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an extract from the court decision </w:t>
            </w:r>
            <w:r>
              <w:rPr>
                <w:rFonts w:ascii="Arial" w:hAnsi="Arial"/>
                <w:i/>
                <w:sz w:val="22"/>
              </w:rPr>
              <w:t>or</w:t>
            </w:r>
            <w:r>
              <w:rPr>
                <w:rFonts w:ascii="Arial" w:hAnsi="Arial"/>
                <w:sz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a certificate from the Information Technology and Communications Department under the Ministry of the Interior, </w:t>
            </w:r>
            <w:r>
              <w:rPr>
                <w:rFonts w:ascii="Arial" w:hAnsi="Arial"/>
                <w:i/>
                <w:sz w:val="22"/>
              </w:rPr>
              <w:t>or</w:t>
            </w:r>
            <w:r>
              <w:rPr>
                <w:rFonts w:ascii="Arial" w:hAnsi="Arial"/>
                <w:sz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a document issued by the State Enterprise Centre of Registers in accordance with the procedure established by the Government of the Republic of Lithuania attesting to the common data processed by competent authorities.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rPr>
            </w:pPr>
            <w:r>
              <w:rPr>
                <w:rFonts w:ascii="Arial" w:hAnsi="Arial"/>
                <w:sz w:val="22"/>
              </w:rPr>
              <w:lastRenderedPageBreak/>
              <w:t>In case of reasonable doubts as to the reliability of the economic operator, entities established outside of Lithuania will be required to provide a document from the relevant foreign institution</w:t>
            </w:r>
            <w:r w:rsidR="005A6195" w:rsidRPr="00FA6096">
              <w:rPr>
                <w:rStyle w:val="FootnoteReference"/>
                <w:rFonts w:ascii="Arial" w:eastAsia="Times New Roman" w:hAnsi="Arial" w:cs="Arial"/>
                <w:sz w:val="22"/>
                <w:szCs w:val="22"/>
              </w:rPr>
              <w:footnoteReference w:id="2"/>
            </w:r>
            <w:r>
              <w:rPr>
                <w:rFonts w:ascii="Arial" w:hAnsi="Arial"/>
                <w:sz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w:t>
            </w:r>
            <w:r w:rsidR="0099656F">
              <w:rPr>
                <w:rStyle w:val="FootnoteReference"/>
                <w:rFonts w:ascii="Arial" w:eastAsia="Times New Roman" w:hAnsi="Arial" w:cs="Arial"/>
                <w:sz w:val="22"/>
                <w:szCs w:val="22"/>
              </w:rPr>
              <w:footnoteReference w:id="3"/>
            </w:r>
            <w:r>
              <w:rPr>
                <w:rFonts w:ascii="Arial" w:hAnsi="Arial"/>
                <w:sz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If the document has been issued earlier but the period of validity specified therein is longer than the final time limit for the submission of documents proving the absence of grounds for exclusion under the ESPD, such document shall be admissible during its period of validity.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Pr>
                <w:rFonts w:ascii="Arial" w:hAnsi="Arial"/>
                <w:b/>
                <w:sz w:val="24"/>
              </w:rPr>
              <w:lastRenderedPageBreak/>
              <w:t>Exclusively national grounds for exclusion</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failed to comply with the penal sanction imposed on it, namely prohibiting the legal person to participate in public procurement.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rPr>
            </w:pPr>
            <w:r>
              <w:rPr>
                <w:rFonts w:ascii="Arial" w:hAnsi="Arial"/>
                <w:b/>
                <w:sz w:val="22"/>
              </w:rPr>
              <w:t>Article 46(2</w:t>
            </w:r>
            <w:r>
              <w:rPr>
                <w:rFonts w:ascii="Arial" w:hAnsi="Arial"/>
                <w:b/>
                <w:sz w:val="22"/>
                <w:vertAlign w:val="superscript"/>
              </w:rPr>
              <w:t>1</w:t>
            </w:r>
            <w:r>
              <w:rPr>
                <w:rFonts w:ascii="Arial" w:hAnsi="Arial"/>
                <w:b/>
                <w:sz w:val="22"/>
              </w:rPr>
              <w:t>) of the LPP</w:t>
            </w:r>
            <w:r>
              <w:rPr>
                <w:rFonts w:ascii="Arial" w:hAnsi="Arial"/>
                <w:sz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Pr>
                <w:rFonts w:ascii="Arial" w:hAnsi="Arial"/>
                <w:sz w:val="22"/>
              </w:rPr>
              <w:t>Item D2 of Part III of the ESPD</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Pr>
                <w:rFonts w:ascii="Arial" w:hAnsi="Arial"/>
                <w:b/>
                <w:sz w:val="24"/>
              </w:rPr>
              <w:t>Payment of taxes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Pr>
                <w:rFonts w:ascii="Arial" w:hAnsi="Arial"/>
                <w:b/>
                <w:sz w:val="24"/>
              </w:rPr>
              <w:t>Payment of social security contributions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been convicted of a breach of the obligations relating to the payment of taxes, including social security contributions, in accordance with the legal provisions of the country in which the economic operator is established or of the country of the contracting authority, or the contracting authority has other evidence of failure to fulfil those obligations.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shall be deemed to have been convicted of an aforementioned criminal act where: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a judgement of conviction has been passed and become effective over the past five years against the economic operator being a natural person and this person has an unspent or unexpunged conviction;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2) a judgement of conviction has been passed and become effective over the past five years against the economic operator </w:t>
            </w:r>
            <w:r>
              <w:rPr>
                <w:rFonts w:ascii="Arial" w:hAnsi="Arial"/>
                <w:sz w:val="22"/>
              </w:rPr>
              <w:lastRenderedPageBreak/>
              <w:t>being a legal person, another organisation or a structural unit thereof or, in the case of Article 46(3) of the LPP, an administrative decision having final effect, if such decision is made in accordance with the legal provisions of the country of the economic operator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However, this provision shall not apply where: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the economic operator has entered into a binding arrangement with a view to paying taxes, including social security contributions, and is therefore deemed to have fulfilled the obligations laid down in this paragraph;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the amount of the debt does not exceed EUR 50 (fifty euro);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3) the economic operator was informed of the exact amount due at such time that it did not have the possibility of paying taxes, including social insurance contributions, entering into a tax loan agreement or into any other similar binding arrangement relating to their payment or taking other measures to ensure compliance with the provisions of Item 1 before expiration of the deadline for the submission of requests for participation or tenders. The economic operator shall not be excluded from participation in the procurement procedure on this ground where, at the contracting authority’s request for the submission of relevant documents pursuant to Article 50(6) of the LPP, it provides evidence to the effect that it is already deemed to have fulfilled the obligations relating to the payment of taxes, including social security contributions.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46(3) of the LPP</w:t>
            </w:r>
            <w:r>
              <w:rPr>
                <w:rFonts w:ascii="Arial" w:hAnsi="Arial"/>
                <w:sz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B1 and B2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require the economic operators to provide certificates proving the absence of the grounds for exclusion if it has reasonable doubts as to the reliability of those economic operators.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entities established in Lithuania:</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will be required to provide a document issued by the State Enterprise Centre of Registers in accordance with the procedure established by the Government of the Republic of Lithuania attesting to the common data processed by competent authorities, </w:t>
            </w:r>
            <w:r>
              <w:rPr>
                <w:rFonts w:ascii="Arial" w:hAnsi="Arial"/>
                <w:i/>
                <w:iCs/>
                <w:sz w:val="22"/>
              </w:rPr>
              <w:t>or</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1) for the fulfilment of obligations related to the payment of taxes, an extract from the court decision (if any) </w:t>
            </w:r>
            <w:r>
              <w:rPr>
                <w:rFonts w:ascii="Arial" w:hAnsi="Arial"/>
                <w:i/>
                <w:sz w:val="22"/>
              </w:rPr>
              <w:t>or</w:t>
            </w:r>
            <w:r>
              <w:rPr>
                <w:rFonts w:ascii="Arial" w:hAnsi="Arial"/>
                <w:sz w:val="22"/>
              </w:rPr>
              <w:t xml:space="preserve"> a document issued by </w:t>
            </w:r>
            <w:r>
              <w:rPr>
                <w:rFonts w:ascii="Arial" w:hAnsi="Arial"/>
                <w:sz w:val="22"/>
              </w:rPr>
              <w:lastRenderedPageBreak/>
              <w:t>the State Tax Inspectorate under the Ministry of Finance of the Republic of Lithuania will be required to be provided</w:t>
            </w:r>
            <w:r>
              <w:rPr>
                <w:rFonts w:ascii="Arial" w:hAnsi="Arial"/>
                <w:i/>
                <w:sz w:val="22"/>
              </w:rPr>
              <w:t>; and</w:t>
            </w:r>
            <w:r>
              <w:rPr>
                <w:rFonts w:ascii="Arial" w:hAnsi="Arial"/>
                <w:sz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rPr>
            </w:pPr>
            <w:r>
              <w:rPr>
                <w:rFonts w:ascii="Arial" w:hAnsi="Arial"/>
                <w:sz w:val="22"/>
              </w:rPr>
              <w:t>2) for the fulfilment of obligations related to the payment of social security contributions: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if the economic operator is a legal person, it is not required to provide any documents proving this requirement. The contracting authority shall independently verify the data in the national database at </w:t>
            </w:r>
            <w:hyperlink r:id="rId13">
              <w:r>
                <w:rPr>
                  <w:rFonts w:ascii="Arial" w:hAnsi="Arial"/>
                  <w:sz w:val="22"/>
                  <w:u w:val="single"/>
                </w:rPr>
                <w:t>http://draudejai.sodra.lt/draudeju_viesi_duomenys/</w:t>
              </w:r>
            </w:hyperlink>
            <w:r>
              <w:rPr>
                <w:rFonts w:ascii="Arial" w:hAnsi="Arial"/>
                <w:sz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rPr>
            </w:pPr>
            <w:r>
              <w:rPr>
                <w:rFonts w:ascii="Arial" w:hAnsi="Arial"/>
                <w:sz w:val="22"/>
              </w:rPr>
              <w:t>If, due to technical disruptions of the information system of the State Social Insurance Fund Board (hereinafter the ‘</w:t>
            </w:r>
            <w:proofErr w:type="spellStart"/>
            <w:r>
              <w:rPr>
                <w:rFonts w:ascii="Arial" w:hAnsi="Arial"/>
                <w:sz w:val="22"/>
              </w:rPr>
              <w:t>Sodra</w:t>
            </w:r>
            <w:proofErr w:type="spellEnd"/>
            <w:r>
              <w:rPr>
                <w:rFonts w:ascii="Arial" w:hAnsi="Arial"/>
                <w:sz w:val="22"/>
              </w:rPr>
              <w:t xml:space="preserve">’), the contracting authority will not be able to verify the data of the economic operator freely available, it will have the right to request the economic operator to provide an extract from the court decision (if any) or a document issued in accordance with the procedure established by </w:t>
            </w:r>
            <w:proofErr w:type="spellStart"/>
            <w:r>
              <w:rPr>
                <w:rFonts w:ascii="Arial" w:hAnsi="Arial"/>
                <w:sz w:val="22"/>
              </w:rPr>
              <w:t>Sodra</w:t>
            </w:r>
            <w:proofErr w:type="spellEnd"/>
            <w:r>
              <w:rPr>
                <w:rFonts w:ascii="Arial" w:hAnsi="Arial"/>
                <w:sz w:val="22"/>
              </w:rPr>
              <w:t xml:space="preserve">, confirming compliance with this requirement;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if the economic operator is a natural person, it will be required to provide an extract from the court decision (if any) or a document issued by </w:t>
            </w:r>
            <w:proofErr w:type="spellStart"/>
            <w:r>
              <w:rPr>
                <w:rFonts w:ascii="Arial" w:hAnsi="Arial"/>
                <w:sz w:val="22"/>
              </w:rPr>
              <w:t>Sodra</w:t>
            </w:r>
            <w:proofErr w:type="spellEnd"/>
            <w:r>
              <w:rPr>
                <w:rFonts w:ascii="Arial" w:hAnsi="Arial"/>
                <w:sz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rPr>
            </w:pPr>
            <w:r>
              <w:rPr>
                <w:rFonts w:ascii="Arial" w:hAnsi="Arial"/>
                <w:sz w:val="22"/>
              </w:rPr>
              <w:t xml:space="preserve">In case of reasonable doubts as to the reliability of the economic operator, for the fulfilment of obligations related to the payment of taxes and of obligations related to the payment of social security contributions, entities established outside of Lithuania will be required to provide documents from the competent authority of the relevant foreign </w:t>
            </w:r>
            <w:r>
              <w:rPr>
                <w:rFonts w:ascii="Arial" w:hAnsi="Arial"/>
                <w:sz w:val="22"/>
              </w:rPr>
              <w:lastRenderedPageBreak/>
              <w:t>country</w:t>
            </w:r>
            <w:r w:rsidR="005A6195" w:rsidRPr="00FA6096">
              <w:rPr>
                <w:rStyle w:val="FootnoteReference"/>
                <w:rFonts w:ascii="Arial" w:eastAsia="Times New Roman" w:hAnsi="Arial" w:cs="Arial"/>
                <w:sz w:val="22"/>
                <w:szCs w:val="22"/>
              </w:rPr>
              <w:footnoteReference w:id="4"/>
            </w:r>
            <w:r>
              <w:rPr>
                <w:rFonts w:ascii="Arial" w:hAnsi="Arial"/>
                <w:sz w:val="22"/>
              </w:rPr>
              <w:t>, except in cases when the economic operator provides a link to the national databases of the country of the economic operator where the contracting authority may verify the relevant data directly and free of charge.</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w:t>
            </w:r>
            <w:r>
              <w:rPr>
                <w:rFonts w:ascii="Arial" w:hAnsi="Arial"/>
                <w:color w:val="000000" w:themeColor="text1"/>
                <w:sz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If the document has been issued earlier but the period of validity specified therein is longer than the final time limit for the submission of documents proving the absence of grounds for exclusion under the ESPD, such document shall be admissible during its period of validity.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Pr>
                <w:rFonts w:ascii="Arial" w:hAnsi="Arial"/>
                <w:b/>
                <w:sz w:val="24"/>
              </w:rPr>
              <w:lastRenderedPageBreak/>
              <w:t>Agreements concluded with other economic operators aimed at distorting competition:</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rPr>
            </w:pPr>
            <w:r>
              <w:rPr>
                <w:rFonts w:ascii="Arial" w:hAnsi="Arial"/>
                <w:sz w:val="22"/>
              </w:rPr>
              <w:t>The economic operator has concluded agreements with other economic operators aimed at distorting competition in the procurement concerned, and the contracting authority has sufficiently plausible indications to conclude so.</w:t>
            </w:r>
            <w: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b/>
                <w:sz w:val="22"/>
              </w:rPr>
              <w:t>Article 46(4)(1) of the LPP</w:t>
            </w:r>
            <w:r>
              <w:rPr>
                <w:rFonts w:ascii="Arial" w:hAnsi="Arial"/>
                <w:sz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Item C10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Pr>
                <w:rFonts w:ascii="Arial" w:hAnsi="Arial"/>
                <w:b/>
                <w:sz w:val="24"/>
              </w:rPr>
              <w:t>Conflict of interest in participation in the procurement procedure: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rPr>
            </w:pPr>
            <w:r>
              <w:rPr>
                <w:rFonts w:ascii="Arial" w:hAnsi="Arial"/>
                <w:sz w:val="22"/>
              </w:rPr>
              <w:lastRenderedPageBreak/>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in a conflict of interest at the time of the procurement procedure within the meaning of Article 21 of the LPP, and the situation cannot be remedied.</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 shall be deemed that a situation related to a conflict of interest cannot be remedied if the persons subject to the conflict of interest have conferred a decisive influence on the decisions of the public procurement commission or the contracting authority and any modification of such decisions would be contrary to the provisions of the LPP.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b/>
                <w:sz w:val="22"/>
              </w:rPr>
              <w:t>Article 46(4)(2) of the LPP</w:t>
            </w:r>
            <w:r>
              <w:rPr>
                <w:rFonts w:ascii="Arial" w:hAnsi="Arial"/>
                <w:sz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Item C12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Pr>
                <w:rFonts w:ascii="Arial" w:hAnsi="Arial"/>
                <w:b/>
                <w:sz w:val="24"/>
              </w:rPr>
              <w:t>Direct or indirect participation in the preparation of this procurement procedure:</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rPr>
            </w:pPr>
            <w:r>
              <w:rPr>
                <w:rFonts w:ascii="Arial" w:hAnsi="Arial"/>
                <w:sz w:val="22"/>
              </w:rPr>
              <w:t>Competition has been distorted, as referred to in Article 27(3) and 27(4) of the LPP, and the situation cannot be remedied.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b/>
                <w:sz w:val="22"/>
              </w:rPr>
              <w:t>Article 46(4)(3) of the LPP</w:t>
            </w:r>
            <w:r>
              <w:rPr>
                <w:rFonts w:ascii="Arial" w:hAnsi="Arial"/>
                <w:sz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Item C13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Pr>
                <w:rFonts w:ascii="Arial" w:hAnsi="Arial"/>
                <w:b/>
                <w:sz w:val="24"/>
              </w:rPr>
              <w:t>Being found guilty of misrepresentation, unable to submit the required documents, and having received confidential information about this procedure:</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in the course of the procurement procedures, withheld information or misrepresented information on conformity to the requirements set out in Articles 46 and 47 of the LPP, and the contracting authority can demonstrate this by any appropriate means, or the economic operator is not able to submit the supporting documents required pursuant to Article 50 of the LPP due to the misrepresentation of information.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On this basis, the economic operator shall also be excluded from the procurement procedure on this ground if, in the course of previous procedures carried out following the procedure set out in the LPP, the Law on Public Procurement in a Field of Defence </w:t>
            </w:r>
            <w:r>
              <w:rPr>
                <w:rFonts w:ascii="Arial" w:hAnsi="Arial"/>
                <w:sz w:val="22"/>
              </w:rPr>
              <w:lastRenderedPageBreak/>
              <w:t>and Security, Law on Procurement by the Entities, Operating in the Field of Procurement, Waste Water Management, Energy, Transport or Postal Services, or the Law on Concessions, it withheld information or misrepresented information as referred to in this Item or the economic operator was not able to submit the supporting documents required pursuant to Article 50 of this LPP due to the misrepresentation of information, which resulted in its exclusion from procurement or concession awarding procedures within the last one year.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shall also be excluded from the procurement procedure on this ground where, in accordance with the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awarding procedures within the last one year or other comparable sanctions being introduced within the last one year.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46(4)(4) of the LPP</w:t>
            </w:r>
            <w:r>
              <w:rPr>
                <w:rFonts w:ascii="Arial" w:hAnsi="Arial"/>
                <w:sz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C15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following Article 52 of the LPP may also be taken into account: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4323D7DD" w14:textId="77777777" w:rsidR="005A6195" w:rsidRPr="00FA6096" w:rsidRDefault="001C3C5D" w:rsidP="002019CB">
            <w:pPr>
              <w:spacing w:after="0" w:line="240" w:lineRule="auto"/>
              <w:jc w:val="both"/>
              <w:textAlignment w:val="baseline"/>
              <w:rPr>
                <w:rFonts w:ascii="Arial" w:eastAsia="Times New Roman" w:hAnsi="Arial" w:cs="Arial"/>
                <w:sz w:val="22"/>
                <w:szCs w:val="22"/>
              </w:rPr>
            </w:pPr>
            <w:hyperlink r:id="rId14" w:history="1">
              <w:r w:rsidR="000E6FBD">
                <w:rPr>
                  <w:rStyle w:val="Hyperlink"/>
                  <w:rFonts w:ascii="Arial" w:hAnsi="Arial"/>
                  <w:sz w:val="22"/>
                </w:rPr>
                <w:t>https://vpt.lrv.lt/lt/nuorodos/kiti-duomenys/powerbi/melaginga-informacija-pateikusiu-tiekeju-sarasas-3/</w:t>
              </w:r>
            </w:hyperlink>
            <w:r w:rsidR="000E6FBD">
              <w:rPr>
                <w:rFonts w:ascii="Arial" w:hAnsi="Arial"/>
                <w:sz w:val="22"/>
              </w:rPr>
              <w:t xml:space="preserve">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undertook at the time of procurement to unduly influence the decision-making process of the contracting authority, to obtain confidential information that would confer upon it undue advantages in the procurement procedure or provided misleading information which may have a material influence on decisions of the contracting authority concerning the exclusion of economic operators, evaluation of their qualifications, determination of the successful tenderer, and the contracting </w:t>
            </w:r>
            <w:r>
              <w:rPr>
                <w:rFonts w:ascii="Arial" w:hAnsi="Arial"/>
                <w:sz w:val="22"/>
              </w:rPr>
              <w:lastRenderedPageBreak/>
              <w:t>authority can demonstrate this by any appropriate means.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46(4)(5) of the LPP</w:t>
            </w:r>
            <w:r>
              <w:rPr>
                <w:rFonts w:ascii="Arial" w:hAnsi="Arial"/>
                <w:sz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C15 of Part III of the ESPD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Pr>
                <w:rFonts w:ascii="Arial" w:hAnsi="Arial"/>
                <w:b/>
                <w:sz w:val="24"/>
              </w:rPr>
              <w:t>Early termination of the contract, damages, or other similar sanctions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failed to perform a contract concluded in accordance with the LPP, the Law on Public Procurement in a Field of Defence and Security, Law on Procurement by the Entities, Operating in the Field of Water Management, Energy, Transport or Postal Services, or a concession contract or has improperly performed it, which has led to a material breach of the contract as stipulated in Article 6(217) of the Civil Code (hereinafter the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economic operator showing significant or persistent deficiencies in the performance of a substantive requirement under the contract or that the contracting authority has decided in the last three years that the economic operator had shown significant or persistent deficiencies in the performance of a substantive requirement under the contract and has therefore been subject to the contractual penalty.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shall also be excluded from the procurement procedure on this ground where, in accordance with the legal acts of other states, it is established within the last three years that it, under a prior contract, a prior contract with a contracting entity or a prior concession </w:t>
            </w:r>
            <w:r>
              <w:rPr>
                <w:rFonts w:ascii="Arial" w:hAnsi="Arial"/>
                <w:sz w:val="22"/>
              </w:rPr>
              <w:lastRenderedPageBreak/>
              <w:t>contract, has shown significant or persistent deficiencies in the performance of a substantive requirement under the contract which led to early termination of that prior contract, damages or other comparable sanctions.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46(4)(6) of the LPP</w:t>
            </w:r>
            <w:r>
              <w:rPr>
                <w:rFonts w:ascii="Arial" w:hAnsi="Arial"/>
                <w:sz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C14 of Part III of the ESPD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following Article 91 of the LPP may be taken into account: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C1DB9FC" w14:textId="77777777" w:rsidR="005A6195" w:rsidRPr="00FA6096" w:rsidRDefault="001C3C5D" w:rsidP="002019CB">
            <w:pPr>
              <w:spacing w:after="0" w:line="240" w:lineRule="auto"/>
              <w:jc w:val="both"/>
              <w:textAlignment w:val="baseline"/>
              <w:rPr>
                <w:rFonts w:ascii="Arial" w:eastAsia="Times New Roman" w:hAnsi="Arial" w:cs="Arial"/>
                <w:sz w:val="22"/>
                <w:szCs w:val="22"/>
              </w:rPr>
            </w:pPr>
            <w:hyperlink r:id="rId15" w:history="1">
              <w:r w:rsidR="000E6FBD">
                <w:rPr>
                  <w:rStyle w:val="Hyperlink"/>
                  <w:rFonts w:ascii="Arial" w:hAnsi="Arial"/>
                  <w:sz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742C4FC" w14:textId="77777777" w:rsidR="005A6195" w:rsidRPr="00FA6096" w:rsidRDefault="001C3C5D" w:rsidP="002019CB">
            <w:pPr>
              <w:spacing w:after="0" w:line="240" w:lineRule="auto"/>
              <w:jc w:val="both"/>
              <w:textAlignment w:val="baseline"/>
              <w:rPr>
                <w:rFonts w:ascii="Arial" w:eastAsia="Times New Roman" w:hAnsi="Arial" w:cs="Arial"/>
                <w:sz w:val="22"/>
                <w:szCs w:val="22"/>
              </w:rPr>
            </w:pPr>
            <w:hyperlink r:id="rId16">
              <w:r w:rsidR="000E6FBD">
                <w:rPr>
                  <w:rFonts w:ascii="Arial" w:hAnsi="Arial"/>
                  <w:sz w:val="22"/>
                </w:rPr>
                <w:t>https://vpt.lrv.lt/lt/pasalinimo-pagrindai-1/nepatikimu-koncesininku-sarasas-1/nepatikimu-koncesininku-sarasas</w:t>
              </w:r>
            </w:hyperlink>
            <w:r w:rsidR="000E6FBD">
              <w:rPr>
                <w:rFonts w:ascii="Arial" w:hAnsi="Arial"/>
                <w:sz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Pr>
                <w:rFonts w:ascii="Arial" w:hAnsi="Arial"/>
                <w:b/>
                <w:sz w:val="24"/>
              </w:rPr>
              <w:t>Being found guilty of a serious professional misconduct:</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guilty of a serious professional misconduct which causes the contracting authority to question the integrity of the economic operator when it has violated financial reporting and auditing legislation, and less than one year has lapsed since the date of its making.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t>Article 46(4)(7)(a) of the LPP</w:t>
            </w:r>
            <w:r>
              <w:rPr>
                <w:rFonts w:ascii="Arial" w:hAnsi="Arial"/>
                <w:sz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ESPD provided is sufficient.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When taking decisions on the exclusion of the economic operator from the procurement procedure on the grounds indicated in this Item, the information published in the national database at </w:t>
            </w:r>
            <w:hyperlink r:id="rId17">
              <w:r>
                <w:rPr>
                  <w:rFonts w:ascii="Arial" w:hAnsi="Arial"/>
                  <w:sz w:val="22"/>
                  <w:u w:val="single"/>
                </w:rPr>
                <w:t>https://www.registrucentras.lt/jar/p/index.php</w:t>
              </w:r>
            </w:hyperlink>
            <w:r>
              <w:rPr>
                <w:rFonts w:ascii="Arial" w:hAnsi="Arial"/>
                <w:sz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shall also be taken into account, as well as the information contained in this information notice: </w:t>
            </w:r>
          </w:p>
          <w:p w14:paraId="5F4025A0" w14:textId="77777777" w:rsidR="005A6195" w:rsidRPr="00FA6096" w:rsidRDefault="001C3C5D" w:rsidP="002019CB">
            <w:pPr>
              <w:spacing w:after="0" w:line="240" w:lineRule="auto"/>
              <w:jc w:val="both"/>
              <w:textAlignment w:val="baseline"/>
              <w:rPr>
                <w:rFonts w:ascii="Arial" w:eastAsia="Times New Roman" w:hAnsi="Arial" w:cs="Arial"/>
                <w:sz w:val="22"/>
                <w:szCs w:val="22"/>
              </w:rPr>
            </w:pPr>
            <w:hyperlink r:id="rId18" w:history="1">
              <w:r w:rsidR="000E6FBD">
                <w:rPr>
                  <w:rStyle w:val="Hyperlink"/>
                  <w:rFonts w:ascii="Arial" w:hAnsi="Arial"/>
                  <w:sz w:val="22"/>
                </w:rPr>
                <w:t>Https://vpt.lrv.lt/lt/naujienos-3/finansiniu-ataskaitu-nepateikimas-gali-tapti-kliutimi-dalyvauti-viesuosiuose-pirkimuose/</w:t>
              </w:r>
            </w:hyperlink>
            <w:r w:rsidR="000E6FBD">
              <w:t xml:space="preserve"> (in Lithuanian)</w:t>
            </w:r>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guilty of a serious professional misconduct which causes the contracting authority to question the integrity of the economic operator when it (the economic operator) does not meet the minimum criteria for a reliable taxpayer set out in Article 40</w:t>
            </w:r>
            <w:r>
              <w:rPr>
                <w:rFonts w:ascii="Arial" w:hAnsi="Arial"/>
                <w:sz w:val="22"/>
                <w:vertAlign w:val="superscript"/>
              </w:rPr>
              <w:t>1</w:t>
            </w:r>
            <w:r>
              <w:rPr>
                <w:rFonts w:ascii="Arial" w:hAnsi="Arial"/>
                <w:sz w:val="22"/>
              </w:rPr>
              <w:t>(1) of the Republic of Lithuania Law on Tax Administration.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t>Article 46(4)(7)(b) of the LPP</w:t>
            </w:r>
            <w:r>
              <w:rPr>
                <w:rFonts w:ascii="Arial" w:hAnsi="Arial"/>
                <w:sz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When taking decisions on the exclusion of the economic operator from the procurement procedure on the grounds indicated in this Item, the information published in the national database at </w:t>
            </w:r>
            <w:hyperlink r:id="rId19">
              <w:r>
                <w:rPr>
                  <w:rFonts w:ascii="Arial" w:hAnsi="Arial"/>
                  <w:sz w:val="22"/>
                  <w:u w:val="single"/>
                </w:rPr>
                <w:t>https://www.vmi.lt/evmi/mokesciu-moketoju-informacija</w:t>
              </w:r>
            </w:hyperlink>
            <w:r>
              <w:rPr>
                <w:rFonts w:ascii="Arial" w:hAnsi="Arial"/>
                <w:sz w:val="22"/>
              </w:rPr>
              <w:t xml:space="preserve"> shall also be taken into account.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is guilty of a serious professional misconduct which causes the contracting authority to question the integrity of the economic operator when it </w:t>
            </w:r>
            <w:r>
              <w:rPr>
                <w:rFonts w:ascii="Arial" w:hAnsi="Arial"/>
                <w:color w:val="000000" w:themeColor="text1"/>
                <w:sz w:val="22"/>
              </w:rPr>
              <w:t xml:space="preserve">has committed a violation of the prohibition to enter into prohibited agreements stipulated in the Republic of Lithuania Law </w:t>
            </w:r>
            <w:r>
              <w:rPr>
                <w:rFonts w:ascii="Arial" w:hAnsi="Arial"/>
                <w:color w:val="000000" w:themeColor="text1"/>
                <w:sz w:val="22"/>
              </w:rPr>
              <w:lastRenderedPageBreak/>
              <w:t>on Competition or a similar legal act of another state, when less than three years have lapsed since the date of its making.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46(4)(7)(c) of the LPP</w:t>
            </w:r>
            <w:r>
              <w:rPr>
                <w:rFonts w:ascii="Arial" w:hAnsi="Arial"/>
                <w:sz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in the national database at  </w:t>
            </w:r>
          </w:p>
          <w:p w14:paraId="496A1AA7" w14:textId="77777777" w:rsidR="005A6195" w:rsidRPr="00FA6096" w:rsidRDefault="001C3C5D" w:rsidP="002019CB">
            <w:pPr>
              <w:spacing w:after="0" w:line="240" w:lineRule="auto"/>
              <w:textAlignment w:val="baseline"/>
              <w:rPr>
                <w:rFonts w:ascii="Arial" w:eastAsia="Times New Roman" w:hAnsi="Arial" w:cs="Arial"/>
                <w:sz w:val="22"/>
                <w:szCs w:val="22"/>
              </w:rPr>
            </w:pPr>
            <w:hyperlink r:id="rId20">
              <w:r w:rsidR="000E6FBD">
                <w:rPr>
                  <w:rFonts w:ascii="Arial" w:hAnsi="Arial"/>
                  <w:sz w:val="22"/>
                  <w:u w:val="single"/>
                </w:rPr>
                <w:t>https://kt.gov.lt/lt/atviri-duomenys/diskvalifikavimas-is-viesuju-pirkimu</w:t>
              </w:r>
            </w:hyperlink>
            <w:r w:rsidR="000E6FBD">
              <w:rPr>
                <w:rFonts w:ascii="Arial" w:hAnsi="Arial"/>
                <w:sz w:val="22"/>
              </w:rPr>
              <w:t xml:space="preserve"> shall also be taken into account.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Pr>
                <w:rFonts w:ascii="Arial" w:hAnsi="Arial"/>
                <w:b/>
                <w:sz w:val="24"/>
              </w:rPr>
              <w:lastRenderedPageBreak/>
              <w:t>Violation of environmental law obligations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Pr>
                <w:rFonts w:ascii="Arial" w:hAnsi="Arial"/>
                <w:b/>
                <w:sz w:val="24"/>
              </w:rPr>
              <w:t>Violation of social law obligations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Pr>
                <w:rFonts w:ascii="Arial" w:hAnsi="Arial"/>
                <w:b/>
                <w:sz w:val="24"/>
              </w:rPr>
              <w:t>Violation of labour law obligations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violated at least one of the environmental, social and labour law obligations referred to in Article 17(2)(2) of the LPP which the contracting authority can demonstrate by any appropriate means. The contracting authority shall exclude the economic operator from the procurement procedure on these grounds if less than one year has elapsed since the date of the violation.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b/>
                <w:sz w:val="22"/>
              </w:rPr>
              <w:t>Article 46(6)(1) of the LPP</w:t>
            </w:r>
            <w:r>
              <w:rPr>
                <w:rFonts w:ascii="Arial" w:hAnsi="Arial"/>
                <w:sz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sz w:val="22"/>
              </w:rPr>
              <w:t>Items C1, C2, and C3 of Part III of the ESPD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Pr>
                <w:rFonts w:ascii="Arial" w:hAnsi="Arial"/>
                <w:b/>
                <w:sz w:val="24"/>
              </w:rPr>
              <w:t>Bankruptcy</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Pr>
                <w:rFonts w:ascii="Arial" w:hAnsi="Arial"/>
                <w:b/>
                <w:sz w:val="24"/>
              </w:rPr>
              <w:t>Insolvency</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Pr>
                <w:rFonts w:ascii="Arial" w:hAnsi="Arial"/>
                <w:b/>
                <w:sz w:val="24"/>
              </w:rPr>
              <w:t>Arrangement with creditors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Pr>
                <w:rFonts w:ascii="Arial" w:hAnsi="Arial"/>
                <w:b/>
                <w:sz w:val="24"/>
              </w:rPr>
              <w:t>Bankruptcy-equivalent situation under national law</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Pr>
                <w:rFonts w:ascii="Arial" w:hAnsi="Arial"/>
                <w:b/>
                <w:sz w:val="24"/>
              </w:rPr>
              <w:t>Assets managed by a liquidator</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Pr>
                <w:rFonts w:ascii="Arial" w:hAnsi="Arial"/>
                <w:b/>
                <w:sz w:val="24"/>
              </w:rPr>
              <w:t>Business activity suspended</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is insolvent, is the subject of restructuring or bankruptcy proceedings, winding-up proceedings have been initiated or commenced against it, where its assets are being administered by a court or by an insolvency administrator, where it is in an arrangement with creditors (agreement between the economic operator and the creditors to continue the economic operator’s activities when the economic operator assumes certain obligations, while the creditors agree to defer, reduce or waive their claims), where its business activities are suspended or restricted or it is in any analogous or similar situation under the </w:t>
            </w:r>
            <w:r>
              <w:rPr>
                <w:rFonts w:ascii="Arial" w:hAnsi="Arial"/>
                <w:sz w:val="22"/>
              </w:rPr>
              <w:lastRenderedPageBreak/>
              <w:t>legal acts of the country in which it is registered.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However, the contracting authority will not exclude from participation in the procurement procedure the economic operator which is in the situation referred to in this Item, where it provides sufficient evidence that it will be able to perform the contract.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b/>
                <w:sz w:val="22"/>
              </w:rPr>
              <w:lastRenderedPageBreak/>
              <w:t>Article 46(6)(2) of the LPP</w:t>
            </w:r>
            <w:r>
              <w:rPr>
                <w:rFonts w:ascii="Arial" w:hAnsi="Arial"/>
                <w:sz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C4, C5, C6, C7, C8, and C9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For entities established in Lithuania, the ESPD provided is sufficient.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independently verify the data in the national database at </w:t>
            </w:r>
            <w:hyperlink r:id="rId21" w:history="1">
              <w:r>
                <w:rPr>
                  <w:rStyle w:val="Hyperlink"/>
                  <w:rFonts w:ascii="Arial" w:hAnsi="Arial"/>
                  <w:sz w:val="22"/>
                </w:rPr>
                <w:t>https://www.registrucentras.lt/jar/p_en/</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hAnsi="Arial"/>
                <w:sz w:val="22"/>
              </w:rPr>
              <w:t xml:space="preserve">In case of reasonable doubts as to the reliability of the economic operator and if, due to technical disruptions of the information system, the contracting authority will not be able to verify the data of the economic operator freely available, it will have the right to request the economic operator (legal entity) to provide a document issued by the State Enterprise Centre of Registers, proving that the economic operator is not in the situation specified in this </w:t>
            </w:r>
            <w:r>
              <w:rPr>
                <w:rFonts w:ascii="Arial" w:hAnsi="Arial"/>
                <w:sz w:val="22"/>
              </w:rPr>
              <w:lastRenderedPageBreak/>
              <w:t xml:space="preserve">Item. The economic operator shall also have a right to submit a document issued by the State Enterprise Centre of Registers in accordance with the procedure laid down by the Government of the Republic of Lithuania and attesting to the common data processed by competent authorities.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hAnsi="Arial"/>
                <w:sz w:val="22"/>
              </w:rPr>
              <w:t>For entities established outside of Lithuania, the ESPD provided is sufficient.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and if, based on the information published by EU institutions (</w:t>
            </w:r>
            <w:hyperlink r:id="rId22" w:history="1">
              <w:r>
                <w:rPr>
                  <w:rStyle w:val="Hyperlink"/>
                  <w:rFonts w:ascii="Arial" w:hAnsi="Arial"/>
                  <w:sz w:val="22"/>
                </w:rPr>
                <w:t>https://e-justice.europa.eu/topics/registers-business-insolvency-land/bankruptcy-and-insolvency-registers_en?init=true</w:t>
              </w:r>
            </w:hyperlink>
            <w:r>
              <w:rPr>
                <w:rFonts w:ascii="Arial" w:hAnsi="Arial"/>
                <w:sz w:val="22"/>
              </w:rPr>
              <w:t>) or the link provided by the economic operator, the contracting authority is not able to verify the data directly and free of charge in the national databases of the economic operator’s country, it shall require the submission of a document issued by the competent authority of the economic operator’s country proving that the economic operator is not in the situation referred to in this Item.</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rPr>
            </w:pPr>
            <w:r>
              <w:rPr>
                <w:rFonts w:ascii="Arial" w:hAnsi="Arial"/>
                <w:sz w:val="22"/>
              </w:rPr>
              <w:t xml:space="preserve">If the document has been issued earlier but the period of validity specified therein is longer than the final time limit for the submission of documents proving the absence of grounds for </w:t>
            </w:r>
            <w:r>
              <w:rPr>
                <w:rFonts w:ascii="Arial" w:hAnsi="Arial"/>
                <w:sz w:val="22"/>
              </w:rPr>
              <w:lastRenderedPageBreak/>
              <w:t>exclusion under the ESPD, such document shall be admissible during its period of validity.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9F6D" w14:textId="77777777" w:rsidR="000E6FBD" w:rsidRDefault="000E6FBD" w:rsidP="005A6195">
      <w:pPr>
        <w:spacing w:after="0" w:line="240" w:lineRule="auto"/>
      </w:pPr>
      <w:r>
        <w:separator/>
      </w:r>
    </w:p>
  </w:endnote>
  <w:endnote w:type="continuationSeparator" w:id="0">
    <w:p w14:paraId="3614C8B3" w14:textId="77777777" w:rsidR="000E6FBD" w:rsidRDefault="000E6FBD" w:rsidP="005A6195">
      <w:pPr>
        <w:spacing w:after="0" w:line="240" w:lineRule="auto"/>
      </w:pPr>
      <w:r>
        <w:continuationSeparator/>
      </w:r>
    </w:p>
  </w:endnote>
  <w:endnote w:type="continuationNotice" w:id="1">
    <w:p w14:paraId="63186ECF" w14:textId="77777777" w:rsidR="000E6FBD" w:rsidRDefault="000E6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DD41" w14:textId="77777777" w:rsidR="000E6FBD" w:rsidRDefault="000E6FBD" w:rsidP="005A6195">
      <w:pPr>
        <w:spacing w:after="0" w:line="240" w:lineRule="auto"/>
      </w:pPr>
      <w:r>
        <w:separator/>
      </w:r>
    </w:p>
  </w:footnote>
  <w:footnote w:type="continuationSeparator" w:id="0">
    <w:p w14:paraId="0AF88D7F" w14:textId="77777777" w:rsidR="000E6FBD" w:rsidRDefault="000E6FBD" w:rsidP="005A6195">
      <w:pPr>
        <w:spacing w:after="0" w:line="240" w:lineRule="auto"/>
      </w:pPr>
      <w:r>
        <w:continuationSeparator/>
      </w:r>
    </w:p>
  </w:footnote>
  <w:footnote w:type="continuationNotice" w:id="1">
    <w:p w14:paraId="7CD22F83" w14:textId="77777777" w:rsidR="000E6FBD" w:rsidRDefault="000E6FBD">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Pr>
          <w:rStyle w:val="FootnoteReference"/>
          <w:rFonts w:ascii="Arial" w:hAnsi="Arial" w:cs="Arial"/>
        </w:rPr>
        <w:footnoteRef/>
      </w:r>
      <w:r>
        <w:rPr>
          <w:rFonts w:ascii="Arial" w:hAnsi="Arial"/>
        </w:rPr>
        <w:t>If the economic operator is unable to provide a document from a court or other competent authority, because such documents are not issued in the Member State or the country concerned, or because the documents issued in that country do not cover all the issues raised in this Item, they may be replaced by:</w:t>
      </w:r>
    </w:p>
    <w:p w14:paraId="0E27DC5C" w14:textId="77777777" w:rsidR="005A6195" w:rsidRPr="00256EF1" w:rsidRDefault="005A6195" w:rsidP="00256EF1">
      <w:pPr>
        <w:pStyle w:val="FootnoteText"/>
        <w:spacing w:after="0" w:line="240" w:lineRule="auto"/>
        <w:jc w:val="both"/>
        <w:rPr>
          <w:rFonts w:ascii="Arial" w:hAnsi="Arial" w:cs="Arial"/>
        </w:rPr>
      </w:pPr>
      <w:r>
        <w:rPr>
          <w:rFonts w:ascii="Arial" w:hAnsi="Arial"/>
        </w:rPr>
        <w:t xml:space="preserve">1) a declaration on oath; </w:t>
      </w:r>
    </w:p>
    <w:p w14:paraId="2A3D5CB0" w14:textId="77777777" w:rsidR="005A6195" w:rsidRPr="00256EF1" w:rsidRDefault="005A6195" w:rsidP="00256EF1">
      <w:pPr>
        <w:pStyle w:val="FootnoteText"/>
        <w:spacing w:after="0" w:line="240" w:lineRule="auto"/>
        <w:jc w:val="both"/>
        <w:rPr>
          <w:rFonts w:ascii="Arial" w:hAnsi="Arial" w:cs="Arial"/>
        </w:rPr>
      </w:pPr>
      <w:r>
        <w:rPr>
          <w:rFonts w:ascii="Arial" w:hAnsi="Arial"/>
        </w:rPr>
        <w:t>2) 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p>
  </w:footnote>
  <w:footnote w:id="3">
    <w:p w14:paraId="58859B28" w14:textId="6783EA9C" w:rsidR="0099656F" w:rsidRDefault="0099656F" w:rsidP="00256EF1">
      <w:pPr>
        <w:pStyle w:val="FootnoteText"/>
        <w:spacing w:after="0" w:line="240" w:lineRule="auto"/>
        <w:jc w:val="both"/>
      </w:pPr>
      <w:r>
        <w:rPr>
          <w:rStyle w:val="FootnoteReference"/>
          <w:rFonts w:ascii="Arial" w:hAnsi="Arial" w:cs="Arial"/>
        </w:rPr>
        <w:footnoteRef/>
      </w:r>
      <w:r>
        <w:rPr>
          <w:rFonts w:ascii="Arial" w:hAnsi="Arial"/>
        </w:rPr>
        <w:t xml:space="preserve"> Example: if the contracting authority applied to the economic operator on 10/10/2022 to submit documentary evidence by 14/10/2022, they must have been issued no earlier than 180 calendar days before, counting back from 14/10/2022.</w:t>
      </w:r>
      <w:r>
        <w:rPr>
          <w:rFonts w:ascii="Arial" w:hAnsi="Arial"/>
          <w:i/>
          <w:color w:val="000000" w:themeColor="text1"/>
          <w:sz w:val="22"/>
        </w:rPr>
        <w:t> </w:t>
      </w:r>
      <w:r>
        <w:rPr>
          <w:rFonts w:ascii="Arial" w:hAnsi="Arial"/>
          <w:color w:val="000000" w:themeColor="text1"/>
          <w:sz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Pr>
          <w:rStyle w:val="FootnoteReference"/>
          <w:rFonts w:ascii="Arial" w:hAnsi="Arial" w:cs="Arial"/>
        </w:rPr>
        <w:footnoteRef/>
      </w:r>
      <w:r>
        <w:rPr>
          <w:rFonts w:ascii="Arial" w:hAnsi="Arial"/>
        </w:rPr>
        <w:t xml:space="preserve"> If the economic operator is unable to provide documents from a court or competent authority, because such documents are not issued in the Member State or the country concerned, or because the documents issued in that country do not cover all the issues raised in this Item, they may be replaced by:</w:t>
      </w:r>
    </w:p>
    <w:p w14:paraId="2A766030" w14:textId="77777777" w:rsidR="005A6195" w:rsidRPr="00256EF1" w:rsidRDefault="005A6195" w:rsidP="00256EF1">
      <w:pPr>
        <w:pStyle w:val="FootnoteText"/>
        <w:spacing w:after="0" w:line="240" w:lineRule="auto"/>
        <w:jc w:val="both"/>
        <w:rPr>
          <w:rFonts w:ascii="Arial" w:hAnsi="Arial" w:cs="Arial"/>
        </w:rPr>
      </w:pPr>
      <w:r>
        <w:rPr>
          <w:rFonts w:ascii="Arial" w:hAnsi="Arial"/>
        </w:rPr>
        <w:t xml:space="preserve">1) a declaration on oath;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Pr>
          <w:rFonts w:ascii="Arial" w:hAnsi="Arial"/>
        </w:rPr>
        <w:t>2) 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1C3C5D">
    <w:pPr>
      <w:pStyle w:val="Header"/>
      <w:jc w:val="center"/>
    </w:pPr>
  </w:p>
  <w:p w14:paraId="456E27E1" w14:textId="77777777" w:rsidR="00FE2F38" w:rsidRDefault="001C3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1C3C5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E6FBD"/>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C3C5D"/>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0B5B"/>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_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topics/registers-business-insolvency-land/bankruptcy-and-insolvency-registers_en?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3B7840F3-4065-4F83-B74B-9E8AC323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4346</Words>
  <Characters>24991</Characters>
  <Application>Microsoft Office Word</Application>
  <DocSecurity>0</DocSecurity>
  <Lines>208</Lines>
  <Paragraphs>58</Paragraphs>
  <ScaleCrop>false</ScaleCrop>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3</cp:revision>
  <dcterms:created xsi:type="dcterms:W3CDTF">2025-06-09T08:26:00Z</dcterms:created>
  <dcterms:modified xsi:type="dcterms:W3CDTF">2025-10-06T14:52:00Z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