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79"/>
      </w:tblGrid>
      <w:tr w:rsidR="002929FD" w:rsidRPr="00CA1C36" w14:paraId="27BD4E44" w14:textId="77777777" w:rsidTr="002A1D47">
        <w:trPr>
          <w:trHeight w:val="320"/>
        </w:trPr>
        <w:tc>
          <w:tcPr>
            <w:tcW w:w="988" w:type="dxa"/>
            <w:vAlign w:val="center"/>
          </w:tcPr>
          <w:p w14:paraId="0B3FC2BF" w14:textId="77777777" w:rsidR="002929FD" w:rsidRPr="00CA1C36" w:rsidRDefault="002929FD" w:rsidP="004003A2">
            <w:pPr>
              <w:rPr>
                <w:rFonts w:ascii="Times New Roman" w:eastAsia="Times New Roman" w:hAnsi="Times New Roman" w:cs="Times New Roman"/>
                <w:b/>
                <w:bCs/>
                <w:color w:val="000000"/>
                <w:kern w:val="0"/>
                <w:lang w:val="en-US" w:eastAsia="en-GB"/>
                <w14:ligatures w14:val="none"/>
              </w:rPr>
            </w:pPr>
            <w:r w:rsidRPr="00CA1C36">
              <w:rPr>
                <w:rFonts w:ascii="Times New Roman" w:eastAsia="Times New Roman" w:hAnsi="Times New Roman" w:cs="Times New Roman"/>
                <w:b/>
                <w:bCs/>
                <w:color w:val="000000"/>
                <w:kern w:val="0"/>
                <w:lang w:val="en-US" w:eastAsia="en-GB"/>
                <w14:ligatures w14:val="none"/>
              </w:rPr>
              <w:t>Eil. Nr.</w:t>
            </w:r>
          </w:p>
        </w:tc>
        <w:tc>
          <w:tcPr>
            <w:tcW w:w="8079" w:type="dxa"/>
            <w:noWrap/>
            <w:vAlign w:val="center"/>
            <w:hideMark/>
          </w:tcPr>
          <w:p w14:paraId="281EC2AD" w14:textId="77777777" w:rsidR="002929FD" w:rsidRPr="00CA1C36" w:rsidRDefault="002929FD" w:rsidP="004003A2">
            <w:pPr>
              <w:rPr>
                <w:rFonts w:ascii="Times New Roman" w:eastAsia="Times New Roman" w:hAnsi="Times New Roman" w:cs="Times New Roman"/>
                <w:b/>
                <w:bCs/>
                <w:color w:val="000000"/>
                <w:kern w:val="0"/>
                <w:lang w:eastAsia="en-GB"/>
                <w14:ligatures w14:val="none"/>
              </w:rPr>
            </w:pPr>
            <w:r w:rsidRPr="00CA1C36">
              <w:rPr>
                <w:rFonts w:ascii="Times New Roman" w:eastAsia="Times New Roman" w:hAnsi="Times New Roman" w:cs="Times New Roman"/>
                <w:b/>
                <w:bCs/>
                <w:color w:val="000000"/>
                <w:kern w:val="0"/>
                <w:lang w:val="en-US" w:eastAsia="en-GB"/>
                <w14:ligatures w14:val="none"/>
              </w:rPr>
              <w:t>Reikalaujami</w:t>
            </w:r>
            <w:r w:rsidRPr="00CA1C36">
              <w:rPr>
                <w:rFonts w:ascii="Times New Roman" w:eastAsia="Times New Roman" w:hAnsi="Times New Roman" w:cs="Times New Roman"/>
                <w:b/>
                <w:bCs/>
                <w:color w:val="000000"/>
                <w:kern w:val="0"/>
                <w:lang w:eastAsia="en-GB"/>
                <w14:ligatures w14:val="none"/>
              </w:rPr>
              <w:t xml:space="preserve"> parametrai</w:t>
            </w:r>
          </w:p>
        </w:tc>
      </w:tr>
      <w:tr w:rsidR="002929FD" w:rsidRPr="00CA1C36" w14:paraId="451384D3" w14:textId="77777777" w:rsidTr="002A1D47">
        <w:trPr>
          <w:trHeight w:val="320"/>
        </w:trPr>
        <w:tc>
          <w:tcPr>
            <w:tcW w:w="988" w:type="dxa"/>
          </w:tcPr>
          <w:p w14:paraId="24704858"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val="en-US" w:eastAsia="en-GB"/>
                <w14:ligatures w14:val="none"/>
              </w:rPr>
            </w:pPr>
          </w:p>
        </w:tc>
        <w:tc>
          <w:tcPr>
            <w:tcW w:w="8079" w:type="dxa"/>
            <w:hideMark/>
          </w:tcPr>
          <w:p w14:paraId="02940FF2" w14:textId="62CF6187"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 xml:space="preserve">Mobili Ultragarso sistema </w:t>
            </w:r>
          </w:p>
        </w:tc>
      </w:tr>
      <w:tr w:rsidR="002929FD" w:rsidRPr="00CA1C36" w14:paraId="083A7081" w14:textId="77777777" w:rsidTr="002A1D47">
        <w:trPr>
          <w:trHeight w:val="320"/>
        </w:trPr>
        <w:tc>
          <w:tcPr>
            <w:tcW w:w="988" w:type="dxa"/>
          </w:tcPr>
          <w:p w14:paraId="731B606D"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7C4F2623" w14:textId="60FB2707"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Pilnai skaitmeninė sistema</w:t>
            </w:r>
          </w:p>
        </w:tc>
      </w:tr>
      <w:tr w:rsidR="002929FD" w:rsidRPr="00CA1C36" w14:paraId="1643562B" w14:textId="77777777" w:rsidTr="002A1D47">
        <w:trPr>
          <w:trHeight w:val="320"/>
        </w:trPr>
        <w:tc>
          <w:tcPr>
            <w:tcW w:w="988" w:type="dxa"/>
          </w:tcPr>
          <w:p w14:paraId="44FAA9E1"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F53EC3C" w14:textId="748798F3"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Skaitmeninių kanalų skaičius ≥</w:t>
            </w:r>
            <w:r w:rsidR="00590FBA">
              <w:rPr>
                <w:rFonts w:ascii="Times New Roman" w:hAnsi="Times New Roman" w:cs="Times New Roman"/>
                <w:color w:val="000000"/>
              </w:rPr>
              <w:t xml:space="preserve"> </w:t>
            </w:r>
            <w:r w:rsidRPr="00CA1C36">
              <w:rPr>
                <w:rFonts w:ascii="Times New Roman" w:hAnsi="Times New Roman" w:cs="Times New Roman"/>
                <w:color w:val="000000"/>
              </w:rPr>
              <w:t>10 000 000</w:t>
            </w:r>
          </w:p>
        </w:tc>
      </w:tr>
      <w:tr w:rsidR="002929FD" w:rsidRPr="00CA1C36" w14:paraId="6512C762" w14:textId="77777777" w:rsidTr="002A1D47">
        <w:trPr>
          <w:trHeight w:val="320"/>
        </w:trPr>
        <w:tc>
          <w:tcPr>
            <w:tcW w:w="988" w:type="dxa"/>
          </w:tcPr>
          <w:p w14:paraId="304D7083"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5E2109B" w14:textId="6C7A87FC"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Maksimalus skenavimo gylis ≥ 50 cm</w:t>
            </w:r>
          </w:p>
        </w:tc>
      </w:tr>
      <w:tr w:rsidR="002929FD" w:rsidRPr="00CA1C36" w14:paraId="3EA03EE5" w14:textId="77777777" w:rsidTr="002A1D47">
        <w:trPr>
          <w:trHeight w:val="320"/>
        </w:trPr>
        <w:tc>
          <w:tcPr>
            <w:tcW w:w="988" w:type="dxa"/>
          </w:tcPr>
          <w:p w14:paraId="1C77DC3C"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D48B746" w14:textId="55C11CCB"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Dinaminis diapazonas ≥ 380 dB</w:t>
            </w:r>
          </w:p>
        </w:tc>
      </w:tr>
      <w:tr w:rsidR="002929FD" w:rsidRPr="00CA1C36" w14:paraId="7A31B9AD" w14:textId="77777777" w:rsidTr="002A1D47">
        <w:trPr>
          <w:trHeight w:val="320"/>
        </w:trPr>
        <w:tc>
          <w:tcPr>
            <w:tcW w:w="988" w:type="dxa"/>
          </w:tcPr>
          <w:p w14:paraId="2499B454"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7A7CBE3" w14:textId="4B9CB463"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Akušeriniai tyrimai</w:t>
            </w:r>
          </w:p>
        </w:tc>
      </w:tr>
      <w:tr w:rsidR="002929FD" w:rsidRPr="00CA1C36" w14:paraId="69254D91" w14:textId="77777777" w:rsidTr="002A1D47">
        <w:trPr>
          <w:trHeight w:val="320"/>
        </w:trPr>
        <w:tc>
          <w:tcPr>
            <w:tcW w:w="988" w:type="dxa"/>
          </w:tcPr>
          <w:p w14:paraId="60AD1277"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AAA395E" w14:textId="73BD98D2"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Ginekologiniai tyrimai</w:t>
            </w:r>
          </w:p>
        </w:tc>
      </w:tr>
      <w:tr w:rsidR="002929FD" w:rsidRPr="00CA1C36" w14:paraId="2BB25565" w14:textId="77777777" w:rsidTr="002A1D47">
        <w:trPr>
          <w:trHeight w:val="320"/>
        </w:trPr>
        <w:tc>
          <w:tcPr>
            <w:tcW w:w="988" w:type="dxa"/>
          </w:tcPr>
          <w:p w14:paraId="18B4A110"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64939084" w14:textId="22E2D978" w:rsidR="002929FD" w:rsidRPr="00CA1C36" w:rsidRDefault="002929FD" w:rsidP="004003A2">
            <w:pPr>
              <w:rPr>
                <w:rFonts w:ascii="Times New Roman" w:hAnsi="Times New Roman" w:cs="Times New Roman"/>
                <w:color w:val="000000"/>
              </w:rPr>
            </w:pPr>
            <w:r w:rsidRPr="00CA1C36">
              <w:rPr>
                <w:rFonts w:ascii="Times New Roman" w:hAnsi="Times New Roman" w:cs="Times New Roman"/>
                <w:color w:val="000000"/>
              </w:rPr>
              <w:t>Pilvo organų tyrimai</w:t>
            </w:r>
          </w:p>
        </w:tc>
      </w:tr>
      <w:tr w:rsidR="002929FD" w:rsidRPr="00CA1C36" w14:paraId="4F7E3B9F" w14:textId="77777777" w:rsidTr="00706E97">
        <w:trPr>
          <w:trHeight w:val="273"/>
        </w:trPr>
        <w:tc>
          <w:tcPr>
            <w:tcW w:w="988" w:type="dxa"/>
          </w:tcPr>
          <w:p w14:paraId="571DA9C3" w14:textId="77777777" w:rsidR="002929FD" w:rsidRPr="00CA1C36" w:rsidRDefault="002929FD" w:rsidP="004003A2">
            <w:pPr>
              <w:pStyle w:val="Sraopastraipa"/>
              <w:numPr>
                <w:ilvl w:val="0"/>
                <w:numId w:val="1"/>
              </w:numPr>
              <w:ind w:left="-50" w:firstLine="0"/>
              <w:rPr>
                <w:rFonts w:ascii="Times New Roman" w:eastAsia="Times New Roman" w:hAnsi="Times New Roman" w:cs="Times New Roman"/>
                <w:color w:val="000000"/>
                <w:kern w:val="0"/>
                <w:lang w:eastAsia="en-GB"/>
                <w14:ligatures w14:val="none"/>
              </w:rPr>
            </w:pPr>
          </w:p>
        </w:tc>
        <w:tc>
          <w:tcPr>
            <w:tcW w:w="8079" w:type="dxa"/>
            <w:hideMark/>
          </w:tcPr>
          <w:p w14:paraId="280681DF" w14:textId="77777777"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Krūtų tyrimai</w:t>
            </w:r>
          </w:p>
        </w:tc>
      </w:tr>
      <w:tr w:rsidR="002929FD" w:rsidRPr="00CA1C36" w14:paraId="0E1E2D3F" w14:textId="77777777" w:rsidTr="002A1D47">
        <w:trPr>
          <w:trHeight w:val="320"/>
        </w:trPr>
        <w:tc>
          <w:tcPr>
            <w:tcW w:w="988" w:type="dxa"/>
          </w:tcPr>
          <w:p w14:paraId="38C21D93"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09F56FF1" w14:textId="1E153008"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Lietimui jautrus ekranas sistemos funkcijų valdymui</w:t>
            </w:r>
          </w:p>
        </w:tc>
      </w:tr>
      <w:tr w:rsidR="002929FD" w:rsidRPr="00CA1C36" w14:paraId="2F7BD40A" w14:textId="77777777" w:rsidTr="002A1D47">
        <w:trPr>
          <w:trHeight w:val="320"/>
        </w:trPr>
        <w:tc>
          <w:tcPr>
            <w:tcW w:w="988" w:type="dxa"/>
          </w:tcPr>
          <w:p w14:paraId="36BA8E39"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DEEED5C" w14:textId="2DE05961"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Ekrano įstrižainė ≥ 35 cm</w:t>
            </w:r>
          </w:p>
        </w:tc>
      </w:tr>
      <w:tr w:rsidR="002929FD" w:rsidRPr="00CA1C36" w14:paraId="703324E1" w14:textId="77777777" w:rsidTr="002A1D47">
        <w:trPr>
          <w:trHeight w:val="331"/>
        </w:trPr>
        <w:tc>
          <w:tcPr>
            <w:tcW w:w="988" w:type="dxa"/>
          </w:tcPr>
          <w:p w14:paraId="3C825CA6"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70291E0D" w14:textId="12D1BA1A"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Skaitinė - raidinė klaviatūra</w:t>
            </w:r>
          </w:p>
        </w:tc>
      </w:tr>
      <w:tr w:rsidR="002929FD" w:rsidRPr="00CA1C36" w14:paraId="6E2509E1" w14:textId="77777777" w:rsidTr="002A1D47">
        <w:trPr>
          <w:trHeight w:val="320"/>
        </w:trPr>
        <w:tc>
          <w:tcPr>
            <w:tcW w:w="988" w:type="dxa"/>
          </w:tcPr>
          <w:p w14:paraId="751ACC3D"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01A2DC8" w14:textId="12DD4573"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Valdymo pulto pasukimo kampu ir aukščio reguliavimo funkcija</w:t>
            </w:r>
          </w:p>
        </w:tc>
      </w:tr>
      <w:tr w:rsidR="002929FD" w:rsidRPr="00CA1C36" w14:paraId="299267D2" w14:textId="77777777" w:rsidTr="002A1D47">
        <w:trPr>
          <w:trHeight w:val="368"/>
        </w:trPr>
        <w:tc>
          <w:tcPr>
            <w:tcW w:w="988" w:type="dxa"/>
          </w:tcPr>
          <w:p w14:paraId="1DF8DD06"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F43F263" w14:textId="4DBE03A0"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Stiprinimo kompensacija ( angl. TGC) ≥ 8 lygių</w:t>
            </w:r>
          </w:p>
        </w:tc>
      </w:tr>
      <w:tr w:rsidR="002929FD" w:rsidRPr="00CA1C36" w14:paraId="49ED2AF5" w14:textId="77777777" w:rsidTr="002A1D47">
        <w:trPr>
          <w:trHeight w:val="320"/>
        </w:trPr>
        <w:tc>
          <w:tcPr>
            <w:tcW w:w="988" w:type="dxa"/>
          </w:tcPr>
          <w:p w14:paraId="70A5B376"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1FE29D58" w14:textId="0D9DE978"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Aparato monitorius aukštos raiškos LED tipo (arba lygiavertis)</w:t>
            </w:r>
          </w:p>
        </w:tc>
      </w:tr>
      <w:tr w:rsidR="002929FD" w:rsidRPr="00CA1C36" w14:paraId="0BE5FFF1" w14:textId="77777777" w:rsidTr="002A1D47">
        <w:trPr>
          <w:trHeight w:val="365"/>
        </w:trPr>
        <w:tc>
          <w:tcPr>
            <w:tcW w:w="988" w:type="dxa"/>
          </w:tcPr>
          <w:p w14:paraId="2A95E0EE"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2E2E1D4" w14:textId="7E1259FC"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Monitoriaus ekrano įstrižainė ≥ 55cm</w:t>
            </w:r>
          </w:p>
        </w:tc>
      </w:tr>
      <w:tr w:rsidR="002929FD" w:rsidRPr="00CA1C36" w14:paraId="37CE1EAB" w14:textId="77777777" w:rsidTr="00706E97">
        <w:trPr>
          <w:trHeight w:val="271"/>
        </w:trPr>
        <w:tc>
          <w:tcPr>
            <w:tcW w:w="988" w:type="dxa"/>
          </w:tcPr>
          <w:p w14:paraId="1198826A"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2CFE963" w14:textId="21131DFF"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Monitoriaus skiriamoji geba ≥ (1920×1080) taškų</w:t>
            </w:r>
          </w:p>
        </w:tc>
      </w:tr>
      <w:tr w:rsidR="002929FD" w:rsidRPr="00CA1C36" w14:paraId="45874BF5" w14:textId="77777777" w:rsidTr="002A1D47">
        <w:trPr>
          <w:trHeight w:val="640"/>
        </w:trPr>
        <w:tc>
          <w:tcPr>
            <w:tcW w:w="988" w:type="dxa"/>
          </w:tcPr>
          <w:p w14:paraId="797B6042"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0D28B186" w14:textId="75728671"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Automatinis parametrų optimizavimas dvimačiame režime ir pulsinės bangos doplerio režimuose</w:t>
            </w:r>
          </w:p>
        </w:tc>
      </w:tr>
      <w:tr w:rsidR="002929FD" w:rsidRPr="00CA1C36" w14:paraId="0855903E" w14:textId="77777777" w:rsidTr="002A1D47">
        <w:trPr>
          <w:trHeight w:val="485"/>
        </w:trPr>
        <w:tc>
          <w:tcPr>
            <w:tcW w:w="988" w:type="dxa"/>
          </w:tcPr>
          <w:p w14:paraId="7279D1F0"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677DF85" w14:textId="459C8FD7"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Sistemas darbo režimas (turi veikti bent su dviem siūlomais davikliais) - 2D režimas</w:t>
            </w:r>
          </w:p>
        </w:tc>
      </w:tr>
      <w:tr w:rsidR="002929FD" w:rsidRPr="00CA1C36" w14:paraId="262DF231" w14:textId="77777777" w:rsidTr="002A1D47">
        <w:trPr>
          <w:trHeight w:val="548"/>
        </w:trPr>
        <w:tc>
          <w:tcPr>
            <w:tcW w:w="988" w:type="dxa"/>
          </w:tcPr>
          <w:p w14:paraId="558B484E"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B61B180" w14:textId="22470F70"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Sistemas darbo režimas (turi veikti bent su dviem siūlomais davikliais) -vienmatis režimas M</w:t>
            </w:r>
          </w:p>
        </w:tc>
      </w:tr>
      <w:tr w:rsidR="002929FD" w:rsidRPr="00CA1C36" w14:paraId="12C83D41" w14:textId="77777777" w:rsidTr="002A1D47">
        <w:trPr>
          <w:trHeight w:val="556"/>
        </w:trPr>
        <w:tc>
          <w:tcPr>
            <w:tcW w:w="988" w:type="dxa"/>
          </w:tcPr>
          <w:p w14:paraId="4BB10CA7"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23F4E1D" w14:textId="1B27F77C"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Sistemos darbo režimai (turi veikti bent su dviem siūlomais davikliais) -spalvinio doplerio rėžimas</w:t>
            </w:r>
          </w:p>
        </w:tc>
      </w:tr>
      <w:tr w:rsidR="002929FD" w:rsidRPr="00CA1C36" w14:paraId="28BFF53D" w14:textId="77777777" w:rsidTr="002A1D47">
        <w:trPr>
          <w:trHeight w:val="640"/>
        </w:trPr>
        <w:tc>
          <w:tcPr>
            <w:tcW w:w="988" w:type="dxa"/>
          </w:tcPr>
          <w:p w14:paraId="26E299CB"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E32B68B" w14:textId="674E0193"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Sistemas darbo rėžimas (turi veikti bent su vienu siūlomu davikliu) -spektrinio doplerio režimas</w:t>
            </w:r>
          </w:p>
        </w:tc>
      </w:tr>
      <w:tr w:rsidR="002929FD" w:rsidRPr="00CA1C36" w14:paraId="0655369B" w14:textId="77777777" w:rsidTr="002A1D47">
        <w:trPr>
          <w:trHeight w:val="333"/>
        </w:trPr>
        <w:tc>
          <w:tcPr>
            <w:tcW w:w="988" w:type="dxa"/>
          </w:tcPr>
          <w:p w14:paraId="672FFEFF"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75674AC" w14:textId="17BE9D08"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2D režimas. Filtravimo algoritmai triukšmams ir artefaktams pašalinti</w:t>
            </w:r>
          </w:p>
        </w:tc>
      </w:tr>
      <w:tr w:rsidR="002929FD" w:rsidRPr="00CA1C36" w14:paraId="2091187C" w14:textId="77777777" w:rsidTr="002A1D47">
        <w:trPr>
          <w:trHeight w:val="640"/>
        </w:trPr>
        <w:tc>
          <w:tcPr>
            <w:tcW w:w="988" w:type="dxa"/>
          </w:tcPr>
          <w:p w14:paraId="0E1C7DB4"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760F0800" w14:textId="565F0E90"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2D režimas. Galimybė gauti kombinuotą vaizdą, sumuojant kelis vaizdus, skenavimo spindulį pasukant skirtingais kampais</w:t>
            </w:r>
          </w:p>
        </w:tc>
      </w:tr>
      <w:tr w:rsidR="002929FD" w:rsidRPr="00CA1C36" w14:paraId="4E0B6597" w14:textId="77777777" w:rsidTr="00706E97">
        <w:trPr>
          <w:trHeight w:val="405"/>
        </w:trPr>
        <w:tc>
          <w:tcPr>
            <w:tcW w:w="988" w:type="dxa"/>
          </w:tcPr>
          <w:p w14:paraId="7965034B"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33C4191" w14:textId="41D0BC51"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Spalvinio doplerio rėžimas. Tėkmės greičio doplerio režimas</w:t>
            </w:r>
          </w:p>
        </w:tc>
      </w:tr>
      <w:tr w:rsidR="002929FD" w:rsidRPr="00CA1C36" w14:paraId="550CD375" w14:textId="77777777" w:rsidTr="00706E97">
        <w:trPr>
          <w:trHeight w:val="341"/>
        </w:trPr>
        <w:tc>
          <w:tcPr>
            <w:tcW w:w="988" w:type="dxa"/>
          </w:tcPr>
          <w:p w14:paraId="264530A4"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767D4CD" w14:textId="7FD54165"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Spalvinio doplerio rėžimas. Tėkmės intensyvumo (galios)  doplerio režimas</w:t>
            </w:r>
          </w:p>
        </w:tc>
      </w:tr>
      <w:tr w:rsidR="002929FD" w:rsidRPr="00CA1C36" w14:paraId="11BBE657" w14:textId="77777777" w:rsidTr="00706E97">
        <w:trPr>
          <w:trHeight w:val="347"/>
        </w:trPr>
        <w:tc>
          <w:tcPr>
            <w:tcW w:w="988" w:type="dxa"/>
          </w:tcPr>
          <w:p w14:paraId="68191F85"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6DB205D" w14:textId="333AB4F5"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Spektrinio doplerio rezimas. PW doplerio režimas</w:t>
            </w:r>
          </w:p>
        </w:tc>
      </w:tr>
      <w:tr w:rsidR="002929FD" w:rsidRPr="00CA1C36" w14:paraId="2C05CA9B" w14:textId="77777777" w:rsidTr="00706E97">
        <w:trPr>
          <w:trHeight w:val="339"/>
        </w:trPr>
        <w:tc>
          <w:tcPr>
            <w:tcW w:w="988" w:type="dxa"/>
          </w:tcPr>
          <w:p w14:paraId="70805CC3"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077397C9" w14:textId="6E3CD8D1"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Spektrinio doplerio rezimas. HPRF doplerio režimas</w:t>
            </w:r>
          </w:p>
        </w:tc>
      </w:tr>
      <w:tr w:rsidR="002929FD" w:rsidRPr="00CA1C36" w14:paraId="5D0020F0" w14:textId="77777777" w:rsidTr="002A1D47">
        <w:trPr>
          <w:trHeight w:val="416"/>
        </w:trPr>
        <w:tc>
          <w:tcPr>
            <w:tcW w:w="988" w:type="dxa"/>
          </w:tcPr>
          <w:p w14:paraId="753A6CDB"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D6EF183" w14:textId="2F56C483"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Spektrinio doplerio rezimas. CW doplerio režimas</w:t>
            </w:r>
          </w:p>
        </w:tc>
      </w:tr>
      <w:tr w:rsidR="002929FD" w:rsidRPr="00CA1C36" w14:paraId="60665BDF" w14:textId="77777777" w:rsidTr="002A1D47">
        <w:trPr>
          <w:trHeight w:val="423"/>
        </w:trPr>
        <w:tc>
          <w:tcPr>
            <w:tcW w:w="988" w:type="dxa"/>
          </w:tcPr>
          <w:p w14:paraId="68FC8FBF"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C237631" w14:textId="2EBD8F5C"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Spektrinio doplerio rezimas. Audinių doplerio rezimas</w:t>
            </w:r>
          </w:p>
        </w:tc>
      </w:tr>
      <w:tr w:rsidR="002929FD" w:rsidRPr="00CA1C36" w14:paraId="37218E87" w14:textId="77777777" w:rsidTr="002A1D47">
        <w:trPr>
          <w:trHeight w:val="320"/>
        </w:trPr>
        <w:tc>
          <w:tcPr>
            <w:tcW w:w="988" w:type="dxa"/>
          </w:tcPr>
          <w:p w14:paraId="51DF53B3"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7F9AE41F" w14:textId="77777777"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Aktyvių daviklių pajungimo jungčių skaičius ≥ 4</w:t>
            </w:r>
          </w:p>
        </w:tc>
      </w:tr>
      <w:tr w:rsidR="002929FD" w:rsidRPr="00CA1C36" w14:paraId="46F02204" w14:textId="77777777" w:rsidTr="002A1D47">
        <w:trPr>
          <w:trHeight w:val="320"/>
        </w:trPr>
        <w:tc>
          <w:tcPr>
            <w:tcW w:w="988" w:type="dxa"/>
          </w:tcPr>
          <w:p w14:paraId="1D65AAE2"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05971C6" w14:textId="35C9A81F"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Konveksinis daviklis Nr.</w:t>
            </w:r>
            <w:r w:rsidR="00CA1C36">
              <w:rPr>
                <w:rFonts w:ascii="Times New Roman" w:hAnsi="Times New Roman" w:cs="Times New Roman"/>
                <w:color w:val="000000"/>
              </w:rPr>
              <w:t xml:space="preserve"> </w:t>
            </w:r>
            <w:r w:rsidRPr="00CA1C36">
              <w:rPr>
                <w:rFonts w:ascii="Times New Roman" w:hAnsi="Times New Roman" w:cs="Times New Roman"/>
                <w:color w:val="000000"/>
              </w:rPr>
              <w:t>1 - 1 vnt.</w:t>
            </w:r>
          </w:p>
        </w:tc>
      </w:tr>
      <w:tr w:rsidR="002929FD" w:rsidRPr="00CA1C36" w14:paraId="4602EFF2" w14:textId="77777777" w:rsidTr="002A1D47">
        <w:trPr>
          <w:trHeight w:val="557"/>
        </w:trPr>
        <w:tc>
          <w:tcPr>
            <w:tcW w:w="988" w:type="dxa"/>
          </w:tcPr>
          <w:p w14:paraId="0555BF36"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595203B" w14:textId="1E530330"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1 darbinis dažnių diapazonas ne siauresnis kaip nuo 2,0 iki 5,0 MHz</w:t>
            </w:r>
          </w:p>
        </w:tc>
      </w:tr>
      <w:tr w:rsidR="002929FD" w:rsidRPr="00CA1C36" w14:paraId="4D56EBC1" w14:textId="77777777" w:rsidTr="004A6B50">
        <w:trPr>
          <w:trHeight w:val="282"/>
        </w:trPr>
        <w:tc>
          <w:tcPr>
            <w:tcW w:w="988" w:type="dxa"/>
          </w:tcPr>
          <w:p w14:paraId="79BBEC8E"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96EF507" w14:textId="71AE0EDE"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1 apžiūros lauko kampas ≥ 70°</w:t>
            </w:r>
          </w:p>
        </w:tc>
      </w:tr>
      <w:tr w:rsidR="002929FD" w:rsidRPr="00CA1C36" w14:paraId="4B1DCEC3" w14:textId="77777777" w:rsidTr="004A6B50">
        <w:trPr>
          <w:trHeight w:val="274"/>
        </w:trPr>
        <w:tc>
          <w:tcPr>
            <w:tcW w:w="988" w:type="dxa"/>
          </w:tcPr>
          <w:p w14:paraId="1A9F3A89"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9955110" w14:textId="3D7D50F6"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1 darbinių elementų skaičius ≥ 190</w:t>
            </w:r>
          </w:p>
        </w:tc>
      </w:tr>
      <w:tr w:rsidR="002929FD" w:rsidRPr="00CA1C36" w14:paraId="25080B47" w14:textId="77777777" w:rsidTr="004A6B50">
        <w:trPr>
          <w:trHeight w:val="264"/>
        </w:trPr>
        <w:tc>
          <w:tcPr>
            <w:tcW w:w="988" w:type="dxa"/>
          </w:tcPr>
          <w:p w14:paraId="5191F02C"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66B79FF3" w14:textId="432694A6"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Konveksinis daviklis Nr. 2 - 1 vnt.</w:t>
            </w:r>
          </w:p>
        </w:tc>
      </w:tr>
      <w:tr w:rsidR="002929FD" w:rsidRPr="00CA1C36" w14:paraId="18D581FE" w14:textId="77777777" w:rsidTr="00706E97">
        <w:trPr>
          <w:trHeight w:val="547"/>
        </w:trPr>
        <w:tc>
          <w:tcPr>
            <w:tcW w:w="988" w:type="dxa"/>
          </w:tcPr>
          <w:p w14:paraId="40A567A7"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48648BD" w14:textId="3A2180FE"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2 darbinis dažnių diapazonas ne siauresnis kaip nuo 3,0 iki 9,0 MHz</w:t>
            </w:r>
          </w:p>
        </w:tc>
      </w:tr>
      <w:tr w:rsidR="002929FD" w:rsidRPr="00CA1C36" w14:paraId="62D44239" w14:textId="77777777" w:rsidTr="002A1D47">
        <w:trPr>
          <w:trHeight w:val="322"/>
        </w:trPr>
        <w:tc>
          <w:tcPr>
            <w:tcW w:w="988" w:type="dxa"/>
          </w:tcPr>
          <w:p w14:paraId="51E8ADA3"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665A212D" w14:textId="14E8D456"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2 apžiūros lauko kampas ≥ 58°</w:t>
            </w:r>
          </w:p>
        </w:tc>
      </w:tr>
      <w:tr w:rsidR="002929FD" w:rsidRPr="00CA1C36" w14:paraId="6A28CBED" w14:textId="77777777" w:rsidTr="00706E97">
        <w:trPr>
          <w:trHeight w:val="376"/>
        </w:trPr>
        <w:tc>
          <w:tcPr>
            <w:tcW w:w="988" w:type="dxa"/>
          </w:tcPr>
          <w:p w14:paraId="03FD7EEB"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EFABAAA" w14:textId="6219DAB9"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Konveksinio daviklio Nr. 2 darbinių elementų skaičius ≥ 190</w:t>
            </w:r>
          </w:p>
        </w:tc>
      </w:tr>
      <w:tr w:rsidR="002929FD" w:rsidRPr="00CA1C36" w14:paraId="3A59F1AC" w14:textId="77777777" w:rsidTr="002A1D47">
        <w:trPr>
          <w:trHeight w:val="320"/>
        </w:trPr>
        <w:tc>
          <w:tcPr>
            <w:tcW w:w="988" w:type="dxa"/>
          </w:tcPr>
          <w:p w14:paraId="3A244267"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1C143433" w14:textId="7ABDEDAF"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Ertminis daviklis - 1 vnt.</w:t>
            </w:r>
          </w:p>
        </w:tc>
      </w:tr>
      <w:tr w:rsidR="002929FD" w:rsidRPr="00CA1C36" w14:paraId="46725AA5" w14:textId="77777777" w:rsidTr="002A1D47">
        <w:trPr>
          <w:trHeight w:val="380"/>
        </w:trPr>
        <w:tc>
          <w:tcPr>
            <w:tcW w:w="988" w:type="dxa"/>
          </w:tcPr>
          <w:p w14:paraId="27992323"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8E5AC6A" w14:textId="4E3F1251"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Ertminio daviklio darbinis dažnių diapazonas ne siauresnis kaip nuo 4,0 MHz iki 8,0 MHz</w:t>
            </w:r>
          </w:p>
        </w:tc>
      </w:tr>
      <w:tr w:rsidR="002929FD" w:rsidRPr="00CA1C36" w14:paraId="72A9A4BF" w14:textId="77777777" w:rsidTr="00706E97">
        <w:trPr>
          <w:trHeight w:val="365"/>
        </w:trPr>
        <w:tc>
          <w:tcPr>
            <w:tcW w:w="988" w:type="dxa"/>
          </w:tcPr>
          <w:p w14:paraId="2C0C4A47"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E8A5391" w14:textId="64AE8910"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Ertminio daviklio apžiūros lauko kampas ≥ 170°</w:t>
            </w:r>
          </w:p>
        </w:tc>
      </w:tr>
      <w:tr w:rsidR="002929FD" w:rsidRPr="00CA1C36" w14:paraId="4ACADD70" w14:textId="77777777" w:rsidTr="002A1D47">
        <w:trPr>
          <w:trHeight w:val="320"/>
        </w:trPr>
        <w:tc>
          <w:tcPr>
            <w:tcW w:w="988" w:type="dxa"/>
          </w:tcPr>
          <w:p w14:paraId="712218FD"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4258770" w14:textId="77777777"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Linijinis daviklis - 1 vnt.</w:t>
            </w:r>
          </w:p>
        </w:tc>
      </w:tr>
      <w:tr w:rsidR="002929FD" w:rsidRPr="00CA1C36" w14:paraId="626C1967" w14:textId="77777777" w:rsidTr="002A1D47">
        <w:trPr>
          <w:trHeight w:val="368"/>
        </w:trPr>
        <w:tc>
          <w:tcPr>
            <w:tcW w:w="988" w:type="dxa"/>
          </w:tcPr>
          <w:p w14:paraId="639DF005"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D0DE3F5" w14:textId="32804450"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Linijinis daviklis - darbinis dažnių diap</w:t>
            </w:r>
            <w:r w:rsidR="00432C76" w:rsidRPr="00CA1C36">
              <w:rPr>
                <w:rFonts w:ascii="Times New Roman" w:hAnsi="Times New Roman" w:cs="Times New Roman"/>
                <w:color w:val="000000"/>
              </w:rPr>
              <w:t>a</w:t>
            </w:r>
            <w:r w:rsidRPr="00CA1C36">
              <w:rPr>
                <w:rFonts w:ascii="Times New Roman" w:hAnsi="Times New Roman" w:cs="Times New Roman"/>
                <w:color w:val="000000"/>
              </w:rPr>
              <w:t>zonas ne siauresnis kaip nuo 5,0 iki 13,0 MHz</w:t>
            </w:r>
          </w:p>
        </w:tc>
      </w:tr>
      <w:tr w:rsidR="002929FD" w:rsidRPr="00CA1C36" w14:paraId="3BBFAFDE" w14:textId="77777777" w:rsidTr="00DA68A0">
        <w:trPr>
          <w:trHeight w:val="337"/>
        </w:trPr>
        <w:tc>
          <w:tcPr>
            <w:tcW w:w="988" w:type="dxa"/>
          </w:tcPr>
          <w:p w14:paraId="6817630D"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643FD35F" w14:textId="530FE2A4"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Linijinio daviklio darbinių elementų skaičius ≥ 900</w:t>
            </w:r>
          </w:p>
        </w:tc>
      </w:tr>
      <w:tr w:rsidR="002929FD" w:rsidRPr="00CA1C36" w14:paraId="10DC81E7" w14:textId="77777777" w:rsidTr="002A1D47">
        <w:trPr>
          <w:trHeight w:val="551"/>
        </w:trPr>
        <w:tc>
          <w:tcPr>
            <w:tcW w:w="988" w:type="dxa"/>
          </w:tcPr>
          <w:p w14:paraId="43CAA832"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0A36A1E" w14:textId="237684CC"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Programinė vaizdo apdorojimo ir analizės įranga - automatiniams dopleriniams skaičiavimams realiame laike, PW režime</w:t>
            </w:r>
          </w:p>
        </w:tc>
      </w:tr>
      <w:tr w:rsidR="002929FD" w:rsidRPr="00CA1C36" w14:paraId="5E444CEF" w14:textId="77777777" w:rsidTr="002A1D47">
        <w:trPr>
          <w:trHeight w:val="559"/>
        </w:trPr>
        <w:tc>
          <w:tcPr>
            <w:tcW w:w="988" w:type="dxa"/>
          </w:tcPr>
          <w:p w14:paraId="76702EFD"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8C7A954" w14:textId="14D14A13"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Programinė vaizdo apdorojimo ir analizės įranga - specializuoti akušerinių skaičiavimų ir matavimų protokolai</w:t>
            </w:r>
          </w:p>
        </w:tc>
      </w:tr>
      <w:tr w:rsidR="002929FD" w:rsidRPr="00CA1C36" w14:paraId="783F13E3" w14:textId="77777777" w:rsidTr="002A1D47">
        <w:trPr>
          <w:trHeight w:val="320"/>
        </w:trPr>
        <w:tc>
          <w:tcPr>
            <w:tcW w:w="988" w:type="dxa"/>
          </w:tcPr>
          <w:p w14:paraId="7D4860E2"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5CB9CC2A" w14:textId="3C1364B7"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Aparato vidinė atmintis ≥ 512 GB</w:t>
            </w:r>
          </w:p>
        </w:tc>
      </w:tr>
      <w:tr w:rsidR="002929FD" w:rsidRPr="00CA1C36" w14:paraId="0B614455" w14:textId="77777777" w:rsidTr="002A1D47">
        <w:trPr>
          <w:trHeight w:val="320"/>
        </w:trPr>
        <w:tc>
          <w:tcPr>
            <w:tcW w:w="988" w:type="dxa"/>
          </w:tcPr>
          <w:p w14:paraId="26EAD8A3"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1A85B1B8" w14:textId="77777777"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Nespalvoto vaizdo terminis spausdintuvas</w:t>
            </w:r>
          </w:p>
        </w:tc>
      </w:tr>
      <w:tr w:rsidR="002929FD" w:rsidRPr="00CA1C36" w14:paraId="43F6751F" w14:textId="77777777" w:rsidTr="002A1D47">
        <w:trPr>
          <w:trHeight w:val="320"/>
        </w:trPr>
        <w:tc>
          <w:tcPr>
            <w:tcW w:w="988" w:type="dxa"/>
          </w:tcPr>
          <w:p w14:paraId="2D8722C8"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344E2B73" w14:textId="4F0B8198"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Ethernet jungtis</w:t>
            </w:r>
          </w:p>
        </w:tc>
      </w:tr>
      <w:tr w:rsidR="002929FD" w:rsidRPr="00CA1C36" w14:paraId="62750E7C" w14:textId="77777777" w:rsidTr="002A1D47">
        <w:trPr>
          <w:trHeight w:val="320"/>
        </w:trPr>
        <w:tc>
          <w:tcPr>
            <w:tcW w:w="988" w:type="dxa"/>
          </w:tcPr>
          <w:p w14:paraId="60F7EF3D"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2A1F438" w14:textId="07777824"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HDMI arba DisplayPort jungtis</w:t>
            </w:r>
          </w:p>
        </w:tc>
      </w:tr>
      <w:tr w:rsidR="002929FD" w:rsidRPr="00CA1C36" w14:paraId="148939D8" w14:textId="77777777" w:rsidTr="002A1D47">
        <w:trPr>
          <w:trHeight w:val="320"/>
        </w:trPr>
        <w:tc>
          <w:tcPr>
            <w:tcW w:w="988" w:type="dxa"/>
          </w:tcPr>
          <w:p w14:paraId="3FB98FE7"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4CD25720" w14:textId="0D48C157"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USB jungtis</w:t>
            </w:r>
          </w:p>
        </w:tc>
      </w:tr>
      <w:tr w:rsidR="002929FD" w:rsidRPr="00CA1C36" w14:paraId="3AAD4C98" w14:textId="77777777" w:rsidTr="002A1D47">
        <w:trPr>
          <w:trHeight w:val="1044"/>
        </w:trPr>
        <w:tc>
          <w:tcPr>
            <w:tcW w:w="988" w:type="dxa"/>
          </w:tcPr>
          <w:p w14:paraId="6F7CCC43"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hideMark/>
          </w:tcPr>
          <w:p w14:paraId="21B51A68" w14:textId="3B2DEC4A" w:rsidR="002929FD" w:rsidRPr="00CA1C36" w:rsidRDefault="002929FD" w:rsidP="004003A2">
            <w:pPr>
              <w:rPr>
                <w:rFonts w:ascii="Times New Roman" w:eastAsia="Times New Roman" w:hAnsi="Times New Roman" w:cs="Times New Roman"/>
                <w:color w:val="000000"/>
                <w:kern w:val="0"/>
                <w:lang w:eastAsia="en-GB"/>
                <w14:ligatures w14:val="none"/>
              </w:rPr>
            </w:pPr>
            <w:r w:rsidRPr="00CA1C36">
              <w:rPr>
                <w:rFonts w:ascii="Times New Roman" w:hAnsi="Times New Roman" w:cs="Times New Roman"/>
                <w:color w:val="000000"/>
              </w:rPr>
              <w:t>Aparate yra instaliuota DICOM funkcijas palaikanti programinė įranga (arba lygiavertė): a) informacijos perdavimo DICOM Store/Send; b) vaizdų spausdinimo – DICOM Print; c) atliktinų tyrimų (paskyrimų/pacientų) sąrašo perdavimo DICOM Worklist; d) užklausų pateikimo/duomenų atsisiuntimo DICOM Query /Retrieve</w:t>
            </w:r>
          </w:p>
        </w:tc>
      </w:tr>
      <w:tr w:rsidR="002929FD" w:rsidRPr="00CA1C36" w14:paraId="32261087" w14:textId="77777777" w:rsidTr="002A1D47">
        <w:trPr>
          <w:trHeight w:val="610"/>
        </w:trPr>
        <w:tc>
          <w:tcPr>
            <w:tcW w:w="988" w:type="dxa"/>
          </w:tcPr>
          <w:p w14:paraId="43B42840"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7178FC29" w14:textId="6BBFAF19" w:rsidR="002929FD" w:rsidRPr="00CA1C36" w:rsidRDefault="002929FD" w:rsidP="00431944">
            <w:pPr>
              <w:rPr>
                <w:rFonts w:ascii="Times New Roman" w:hAnsi="Times New Roman" w:cs="Times New Roman"/>
                <w:color w:val="000000"/>
              </w:rPr>
            </w:pPr>
            <w:r w:rsidRPr="00CA1C36">
              <w:rPr>
                <w:rFonts w:ascii="Times New Roman" w:hAnsi="Times New Roman" w:cs="Times New Roman"/>
                <w:color w:val="000000"/>
              </w:rPr>
              <w:t>Jei Prekės defekto ir (ar) gedimo šalinimas užtrunka ilgiau nei 5 (penkias) darbo dienas, Tiekėjas sekančią darbo dieną privalo pristatyti Pirkėjui ir perduoti defekto ir (ar) gedimo šalinimo laikotarpiui naudoti ekvivalentišką veikiančią Prekę, ją sumontuoti ir paruošti darbui</w:t>
            </w:r>
          </w:p>
        </w:tc>
      </w:tr>
      <w:tr w:rsidR="002929FD" w:rsidRPr="00CA1C36" w14:paraId="73FDCE6F" w14:textId="77777777" w:rsidTr="00DA68A0">
        <w:trPr>
          <w:trHeight w:val="305"/>
        </w:trPr>
        <w:tc>
          <w:tcPr>
            <w:tcW w:w="988" w:type="dxa"/>
          </w:tcPr>
          <w:p w14:paraId="6954D595"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76929974" w14:textId="6D8C4FC0" w:rsidR="002929FD" w:rsidRPr="00CA1C36" w:rsidRDefault="002929FD" w:rsidP="004003A2">
            <w:pPr>
              <w:rPr>
                <w:rFonts w:ascii="Times New Roman" w:hAnsi="Times New Roman" w:cs="Times New Roman"/>
                <w:color w:val="000000"/>
              </w:rPr>
            </w:pPr>
            <w:r w:rsidRPr="00CA1C36">
              <w:rPr>
                <w:rFonts w:ascii="Times New Roman" w:hAnsi="Times New Roman" w:cs="Times New Roman"/>
                <w:color w:val="000000"/>
              </w:rPr>
              <w:t>Garantija ne mažiau 24 mėn.</w:t>
            </w:r>
          </w:p>
        </w:tc>
      </w:tr>
      <w:tr w:rsidR="002929FD" w:rsidRPr="00CA1C36" w14:paraId="3EF0D7FA" w14:textId="77777777" w:rsidTr="002A1D47">
        <w:trPr>
          <w:trHeight w:val="796"/>
        </w:trPr>
        <w:tc>
          <w:tcPr>
            <w:tcW w:w="988" w:type="dxa"/>
          </w:tcPr>
          <w:p w14:paraId="4CD6D249"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684E2178" w14:textId="2311FB4D" w:rsidR="002929FD" w:rsidRPr="00CA1C36" w:rsidRDefault="002929FD" w:rsidP="006B7AEF">
            <w:pPr>
              <w:rPr>
                <w:rFonts w:ascii="Times New Roman" w:hAnsi="Times New Roman" w:cs="Times New Roman"/>
                <w:color w:val="000000"/>
              </w:rPr>
            </w:pPr>
            <w:r w:rsidRPr="00CA1C36">
              <w:rPr>
                <w:rFonts w:ascii="Times New Roman" w:hAnsi="Times New Roman" w:cs="Times New Roman"/>
                <w:color w:val="000000"/>
              </w:rPr>
              <w:t>Į</w:t>
            </w:r>
            <w:r w:rsidRPr="00CA1C36">
              <w:rPr>
                <w:rFonts w:ascii="Times New Roman" w:hAnsi="Times New Roman" w:cs="Times New Roman"/>
              </w:rPr>
              <w:t xml:space="preserve"> </w:t>
            </w:r>
            <w:r w:rsidRPr="00CA1C36">
              <w:rPr>
                <w:rFonts w:ascii="Times New Roman" w:hAnsi="Times New Roman" w:cs="Times New Roman"/>
                <w:color w:val="000000"/>
              </w:rPr>
              <w:t>rangos pristatymas, sumontavimas ir instaliavimas: įrangos pristatymo, iškrovimo, pervežimo į instaliavimo vietą, instaliavimo, po instaliavimo likusių įpakavimo medžiagų išvežimo (utilizavimo) išlaidos įskaičiuotos į pasiūlymo kainą</w:t>
            </w:r>
          </w:p>
        </w:tc>
      </w:tr>
      <w:tr w:rsidR="002929FD" w:rsidRPr="00CA1C36" w14:paraId="43C93403" w14:textId="77777777" w:rsidTr="002A1D47">
        <w:trPr>
          <w:trHeight w:val="326"/>
        </w:trPr>
        <w:tc>
          <w:tcPr>
            <w:tcW w:w="988" w:type="dxa"/>
          </w:tcPr>
          <w:p w14:paraId="39216897"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51B64E15" w14:textId="06987D77" w:rsidR="002929FD" w:rsidRPr="00CA1C36" w:rsidRDefault="002929FD" w:rsidP="006B7AEF">
            <w:pPr>
              <w:rPr>
                <w:rFonts w:ascii="Times New Roman" w:hAnsi="Times New Roman" w:cs="Times New Roman"/>
                <w:color w:val="000000"/>
              </w:rPr>
            </w:pPr>
            <w:r w:rsidRPr="00CA1C36">
              <w:rPr>
                <w:rFonts w:ascii="Times New Roman" w:hAnsi="Times New Roman" w:cs="Times New Roman"/>
                <w:color w:val="000000"/>
              </w:rPr>
              <w:t>Vartotojų apmokymas naudoti įrangą įskaičiuotas į pasiūlymo kainą</w:t>
            </w:r>
          </w:p>
        </w:tc>
      </w:tr>
      <w:tr w:rsidR="002929FD" w:rsidRPr="00CA1C36" w14:paraId="4FBC4EA2" w14:textId="77777777" w:rsidTr="002A1D47">
        <w:trPr>
          <w:trHeight w:val="1691"/>
        </w:trPr>
        <w:tc>
          <w:tcPr>
            <w:tcW w:w="988" w:type="dxa"/>
          </w:tcPr>
          <w:p w14:paraId="5F49D548"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E881BED" w14:textId="03E26DE0" w:rsidR="002929FD" w:rsidRPr="00CA1C36" w:rsidRDefault="002929FD" w:rsidP="00881C8A">
            <w:pPr>
              <w:rPr>
                <w:rFonts w:ascii="Times New Roman" w:hAnsi="Times New Roman" w:cs="Times New Roman"/>
                <w:color w:val="000000"/>
              </w:rPr>
            </w:pPr>
            <w:r w:rsidRPr="00CA1C36">
              <w:rPr>
                <w:rFonts w:ascii="Times New Roman" w:hAnsi="Times New Roman" w:cs="Times New Roman"/>
                <w:color w:val="000000"/>
              </w:rPr>
              <w:t>Tiekėjas turi užtikrinti galimybę įsigyti siūlomos prekės originalias (arba joms lygiavertes) atsargines dalis (jų tiekimą rinkai) ne trumpiau kaip 5 (penkis)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tc>
      </w:tr>
      <w:tr w:rsidR="002929FD" w:rsidRPr="00CA1C36" w14:paraId="743AB580" w14:textId="77777777" w:rsidTr="002A1D47">
        <w:trPr>
          <w:trHeight w:val="337"/>
        </w:trPr>
        <w:tc>
          <w:tcPr>
            <w:tcW w:w="988" w:type="dxa"/>
          </w:tcPr>
          <w:p w14:paraId="792C75E9"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39B47271" w14:textId="1300CB2F" w:rsidR="002929FD" w:rsidRPr="00CA1C36" w:rsidRDefault="002929FD" w:rsidP="00E60982">
            <w:pPr>
              <w:rPr>
                <w:rFonts w:ascii="Times New Roman" w:hAnsi="Times New Roman" w:cs="Times New Roman"/>
                <w:color w:val="000000"/>
              </w:rPr>
            </w:pPr>
            <w:r w:rsidRPr="00CA1C36">
              <w:rPr>
                <w:rFonts w:ascii="Times New Roman" w:hAnsi="Times New Roman" w:cs="Times New Roman"/>
                <w:color w:val="000000"/>
              </w:rPr>
              <w:t>CE sertifikatas</w:t>
            </w:r>
          </w:p>
        </w:tc>
      </w:tr>
      <w:tr w:rsidR="002929FD" w:rsidRPr="00CA1C36" w14:paraId="3643ED8D" w14:textId="77777777" w:rsidTr="002A1D47">
        <w:trPr>
          <w:trHeight w:val="2560"/>
        </w:trPr>
        <w:tc>
          <w:tcPr>
            <w:tcW w:w="988" w:type="dxa"/>
          </w:tcPr>
          <w:p w14:paraId="35BD6FB0"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12128D4" w14:textId="4BFBA895" w:rsidR="002929FD" w:rsidRPr="00CA1C36" w:rsidRDefault="002929FD" w:rsidP="00E60982">
            <w:pPr>
              <w:rPr>
                <w:rFonts w:ascii="Times New Roman" w:hAnsi="Times New Roman" w:cs="Times New Roman"/>
                <w:color w:val="000000"/>
              </w:rPr>
            </w:pPr>
            <w:r w:rsidRPr="00CA1C36">
              <w:rPr>
                <w:rFonts w:ascii="Times New Roman" w:hAnsi="Times New Roman" w:cs="Times New Roman"/>
                <w:color w:val="000000"/>
              </w:rPr>
              <w:t>6.2.1. Garantinio termino laikotarpiu Tiekėjas, gavęs pranešimą apie Prekės trūkumus arba gedimą, turi atvykti ne vėliau kaip per 1 (vieną) darbo dieną nuo pranešimo apie trūkumus Tiekėjui gavimo.</w:t>
            </w:r>
          </w:p>
          <w:p w14:paraId="6A8DE881" w14:textId="72B67616" w:rsidR="002929FD" w:rsidRPr="00CA1C36" w:rsidRDefault="002929FD" w:rsidP="00E60982">
            <w:pPr>
              <w:rPr>
                <w:rFonts w:ascii="Times New Roman" w:hAnsi="Times New Roman" w:cs="Times New Roman"/>
                <w:color w:val="000000"/>
              </w:rPr>
            </w:pPr>
            <w:r w:rsidRPr="00CA1C36">
              <w:rPr>
                <w:rFonts w:ascii="Times New Roman" w:hAnsi="Times New Roman" w:cs="Times New Roman"/>
                <w:color w:val="000000"/>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0953785D" w14:textId="5FF50442" w:rsidR="002929FD" w:rsidRPr="00CA1C36" w:rsidRDefault="002929FD" w:rsidP="00E60982">
            <w:pPr>
              <w:rPr>
                <w:rFonts w:ascii="Times New Roman" w:hAnsi="Times New Roman" w:cs="Times New Roman"/>
                <w:color w:val="000000"/>
              </w:rPr>
            </w:pPr>
            <w:r w:rsidRPr="00CA1C36">
              <w:rPr>
                <w:rFonts w:ascii="Times New Roman" w:hAnsi="Times New Roman" w:cs="Times New Roman"/>
                <w:color w:val="000000"/>
              </w:rPr>
              <w:t>6.2.3. Garantinio laikotarpio metu Tiekėjas privalo nemokamai atlikti patikimą ir sertifikuotą Prekių techninę priežiūrą bei remontą (darbai ir reikalingos detalės, medžiagos ir kt.). Tiekėjas apmoka visas su Prekių technine priežiūra ir garantiniu remontu susijusias išlaidas. Tiekėjas užtikrina, kad Prekių techninė priežiūra, 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3F727E17" w14:textId="5CDD2EEA" w:rsidR="002929FD" w:rsidRPr="00CA1C36" w:rsidRDefault="002929FD" w:rsidP="009D4AA9">
            <w:pPr>
              <w:rPr>
                <w:rFonts w:ascii="Times New Roman" w:hAnsi="Times New Roman" w:cs="Times New Roman"/>
                <w:color w:val="000000"/>
              </w:rPr>
            </w:pPr>
            <w:r w:rsidRPr="00CA1C36">
              <w:rPr>
                <w:rFonts w:ascii="Times New Roman" w:hAnsi="Times New Roman" w:cs="Times New Roman"/>
                <w:color w:val="000000"/>
              </w:rPr>
              <w:t>6.2.4. Garantinio laikotarpio metu Tiekėjas privalo nemokamai teikti konsultacijas ir paaiškinimus telefonu, įskaitant priežiūrą nuotoliniu būdu.</w:t>
            </w:r>
          </w:p>
        </w:tc>
      </w:tr>
      <w:tr w:rsidR="002929FD" w:rsidRPr="00CA1C36" w14:paraId="3765F3C2" w14:textId="77777777" w:rsidTr="002A1D47">
        <w:trPr>
          <w:trHeight w:val="872"/>
        </w:trPr>
        <w:tc>
          <w:tcPr>
            <w:tcW w:w="988" w:type="dxa"/>
          </w:tcPr>
          <w:p w14:paraId="03499552" w14:textId="77777777" w:rsidR="002929FD" w:rsidRPr="00CA1C36" w:rsidRDefault="002929FD"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1B07222D" w14:textId="04B519BD" w:rsidR="002929FD" w:rsidRPr="00CA1C36" w:rsidRDefault="002929FD" w:rsidP="006A1D8F">
            <w:pPr>
              <w:rPr>
                <w:rFonts w:ascii="Times New Roman" w:hAnsi="Times New Roman" w:cs="Times New Roman"/>
                <w:color w:val="000000"/>
              </w:rPr>
            </w:pPr>
            <w:r w:rsidRPr="00CA1C36">
              <w:rPr>
                <w:rFonts w:ascii="Times New Roman" w:hAnsi="Times New Roman" w:cs="Times New Roman"/>
                <w:color w:val="000000"/>
              </w:rPr>
              <w:t>Siūlomos prekės turi būti naujos (pagaminimo metai ne senesni kaip 6</w:t>
            </w:r>
            <w:r w:rsidR="00432C76" w:rsidRPr="00CA1C36">
              <w:rPr>
                <w:rFonts w:ascii="Times New Roman" w:hAnsi="Times New Roman" w:cs="Times New Roman"/>
                <w:color w:val="000000"/>
              </w:rPr>
              <w:t xml:space="preserve"> </w:t>
            </w:r>
            <w:r w:rsidRPr="00CA1C36">
              <w:rPr>
                <w:rFonts w:ascii="Times New Roman" w:hAnsi="Times New Roman" w:cs="Times New Roman"/>
                <w:color w:val="000000"/>
              </w:rPr>
              <w:t>(šeši) mėn. nuo pirkimo sutarties pasirašymo datos), negalima siūlyti</w:t>
            </w:r>
          </w:p>
          <w:p w14:paraId="38F20D7B" w14:textId="209DE6FF" w:rsidR="002929FD" w:rsidRPr="00CA1C36" w:rsidRDefault="002929FD" w:rsidP="006A1D8F">
            <w:pPr>
              <w:rPr>
                <w:rFonts w:ascii="Times New Roman" w:hAnsi="Times New Roman" w:cs="Times New Roman"/>
                <w:color w:val="000000"/>
              </w:rPr>
            </w:pPr>
            <w:r w:rsidRPr="00CA1C36">
              <w:rPr>
                <w:rFonts w:ascii="Times New Roman" w:hAnsi="Times New Roman" w:cs="Times New Roman"/>
                <w:color w:val="000000"/>
              </w:rPr>
              <w:t>demonstracinių, naudotų arba naudotų ir atnaujintų (remarketing) prekių</w:t>
            </w:r>
          </w:p>
        </w:tc>
      </w:tr>
      <w:tr w:rsidR="004A6B50" w:rsidRPr="00CA1C36" w14:paraId="16A2B67B" w14:textId="77777777" w:rsidTr="00706E97">
        <w:trPr>
          <w:trHeight w:val="255"/>
        </w:trPr>
        <w:tc>
          <w:tcPr>
            <w:tcW w:w="988" w:type="dxa"/>
          </w:tcPr>
          <w:p w14:paraId="1BB5DAE3" w14:textId="77777777" w:rsidR="004A6B50" w:rsidRPr="00CA1C36" w:rsidRDefault="004A6B50" w:rsidP="004003A2">
            <w:pPr>
              <w:pStyle w:val="Sraopastraipa"/>
              <w:numPr>
                <w:ilvl w:val="0"/>
                <w:numId w:val="1"/>
              </w:numPr>
              <w:rPr>
                <w:rFonts w:ascii="Times New Roman" w:eastAsia="Times New Roman" w:hAnsi="Times New Roman" w:cs="Times New Roman"/>
                <w:color w:val="000000"/>
                <w:kern w:val="0"/>
                <w:lang w:eastAsia="en-GB"/>
                <w14:ligatures w14:val="none"/>
              </w:rPr>
            </w:pPr>
          </w:p>
        </w:tc>
        <w:tc>
          <w:tcPr>
            <w:tcW w:w="8079" w:type="dxa"/>
          </w:tcPr>
          <w:p w14:paraId="2A9AFB2D" w14:textId="66F55BC8" w:rsidR="004A6B50" w:rsidRPr="00CA1C36" w:rsidRDefault="004A6B50" w:rsidP="006A1D8F">
            <w:pPr>
              <w:rPr>
                <w:rFonts w:ascii="Times New Roman" w:hAnsi="Times New Roman" w:cs="Times New Roman"/>
                <w:color w:val="000000"/>
              </w:rPr>
            </w:pPr>
            <w:r>
              <w:rPr>
                <w:rFonts w:ascii="Times New Roman" w:hAnsi="Times New Roman" w:cs="Times New Roman"/>
                <w:color w:val="000000"/>
              </w:rPr>
              <w:t>Pristatymo terminas</w:t>
            </w:r>
            <w:r w:rsidR="00D30232">
              <w:rPr>
                <w:rFonts w:ascii="Times New Roman" w:hAnsi="Times New Roman" w:cs="Times New Roman"/>
                <w:color w:val="000000"/>
              </w:rPr>
              <w:t xml:space="preserve"> -</w:t>
            </w:r>
            <w:r>
              <w:rPr>
                <w:rFonts w:ascii="Times New Roman" w:hAnsi="Times New Roman" w:cs="Times New Roman"/>
                <w:color w:val="000000"/>
              </w:rPr>
              <w:t xml:space="preserve"> iki 60 dienų</w:t>
            </w:r>
          </w:p>
        </w:tc>
      </w:tr>
    </w:tbl>
    <w:p w14:paraId="03111034" w14:textId="77777777" w:rsidR="0015603F" w:rsidRDefault="0015603F"/>
    <w:sectPr w:rsidR="0015603F" w:rsidSect="004A6B50">
      <w:pgSz w:w="11906" w:h="16838"/>
      <w:pgMar w:top="1440" w:right="1440" w:bottom="127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04E5"/>
    <w:multiLevelType w:val="hybridMultilevel"/>
    <w:tmpl w:val="0E923B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127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7B"/>
    <w:rsid w:val="00015557"/>
    <w:rsid w:val="000525A0"/>
    <w:rsid w:val="0015603F"/>
    <w:rsid w:val="001624D1"/>
    <w:rsid w:val="001A7387"/>
    <w:rsid w:val="002929FD"/>
    <w:rsid w:val="0029471B"/>
    <w:rsid w:val="002A1D47"/>
    <w:rsid w:val="003779F1"/>
    <w:rsid w:val="003E67D3"/>
    <w:rsid w:val="00431944"/>
    <w:rsid w:val="00432C76"/>
    <w:rsid w:val="00447A43"/>
    <w:rsid w:val="00493DB3"/>
    <w:rsid w:val="004A6B50"/>
    <w:rsid w:val="00543C26"/>
    <w:rsid w:val="00565D01"/>
    <w:rsid w:val="00590FBA"/>
    <w:rsid w:val="00594894"/>
    <w:rsid w:val="0067043B"/>
    <w:rsid w:val="006A1D8F"/>
    <w:rsid w:val="006B7AEF"/>
    <w:rsid w:val="00706E97"/>
    <w:rsid w:val="007A2ABF"/>
    <w:rsid w:val="007D3BB9"/>
    <w:rsid w:val="00870615"/>
    <w:rsid w:val="00881C8A"/>
    <w:rsid w:val="008D5E74"/>
    <w:rsid w:val="009D4AA9"/>
    <w:rsid w:val="00A50BED"/>
    <w:rsid w:val="00A514B7"/>
    <w:rsid w:val="00A53F8A"/>
    <w:rsid w:val="00A545EF"/>
    <w:rsid w:val="00A66B7B"/>
    <w:rsid w:val="00B44C8E"/>
    <w:rsid w:val="00B5721E"/>
    <w:rsid w:val="00BD22D8"/>
    <w:rsid w:val="00CA1C36"/>
    <w:rsid w:val="00CD67B4"/>
    <w:rsid w:val="00D216FA"/>
    <w:rsid w:val="00D30232"/>
    <w:rsid w:val="00D729C6"/>
    <w:rsid w:val="00DA68A0"/>
    <w:rsid w:val="00DB6C2C"/>
    <w:rsid w:val="00DF6E86"/>
    <w:rsid w:val="00E37EDE"/>
    <w:rsid w:val="00E60982"/>
    <w:rsid w:val="00ED3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22A5"/>
  <w15:chartTrackingRefBased/>
  <w15:docId w15:val="{FB58EFB4-306E-4644-AA81-C7C66874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DB3"/>
    <w:pPr>
      <w:spacing w:after="0" w:line="240" w:lineRule="auto"/>
    </w:pPr>
    <w:rPr>
      <w:sz w:val="24"/>
      <w:szCs w:val="24"/>
    </w:rPr>
  </w:style>
  <w:style w:type="paragraph" w:styleId="Antrat1">
    <w:name w:val="heading 1"/>
    <w:basedOn w:val="prastasis"/>
    <w:next w:val="prastasis"/>
    <w:link w:val="Antrat1Diagrama"/>
    <w:uiPriority w:val="9"/>
    <w:qFormat/>
    <w:rsid w:val="00A66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66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66B7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66B7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66B7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66B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6B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6B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6B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6B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66B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66B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66B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66B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66B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6B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6B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6B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6B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6B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6B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6B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6B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6B7B"/>
    <w:rPr>
      <w:i/>
      <w:iCs/>
      <w:color w:val="404040" w:themeColor="text1" w:themeTint="BF"/>
    </w:rPr>
  </w:style>
  <w:style w:type="paragraph" w:styleId="Sraopastraipa">
    <w:name w:val="List Paragraph"/>
    <w:basedOn w:val="prastasis"/>
    <w:uiPriority w:val="34"/>
    <w:qFormat/>
    <w:rsid w:val="00A66B7B"/>
    <w:pPr>
      <w:ind w:left="720"/>
      <w:contextualSpacing/>
    </w:pPr>
  </w:style>
  <w:style w:type="character" w:styleId="Rykuspabraukimas">
    <w:name w:val="Intense Emphasis"/>
    <w:basedOn w:val="Numatytasispastraiposriftas"/>
    <w:uiPriority w:val="21"/>
    <w:qFormat/>
    <w:rsid w:val="00A66B7B"/>
    <w:rPr>
      <w:i/>
      <w:iCs/>
      <w:color w:val="2F5496" w:themeColor="accent1" w:themeShade="BF"/>
    </w:rPr>
  </w:style>
  <w:style w:type="paragraph" w:styleId="Iskirtacitata">
    <w:name w:val="Intense Quote"/>
    <w:basedOn w:val="prastasis"/>
    <w:next w:val="prastasis"/>
    <w:link w:val="IskirtacitataDiagrama"/>
    <w:uiPriority w:val="30"/>
    <w:qFormat/>
    <w:rsid w:val="00A66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66B7B"/>
    <w:rPr>
      <w:i/>
      <w:iCs/>
      <w:color w:val="2F5496" w:themeColor="accent1" w:themeShade="BF"/>
    </w:rPr>
  </w:style>
  <w:style w:type="character" w:styleId="Rykinuoroda">
    <w:name w:val="Intense Reference"/>
    <w:basedOn w:val="Numatytasispastraiposriftas"/>
    <w:uiPriority w:val="32"/>
    <w:qFormat/>
    <w:rsid w:val="00A66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3901</Words>
  <Characters>2224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16</cp:revision>
  <dcterms:created xsi:type="dcterms:W3CDTF">2025-10-29T12:45:00Z</dcterms:created>
  <dcterms:modified xsi:type="dcterms:W3CDTF">2025-10-29T13:01:00Z</dcterms:modified>
</cp:coreProperties>
</file>