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522179F2"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901C9A">
            <w:rPr>
              <w:rFonts w:ascii="Times New Roman" w:eastAsia="Times New Roman" w:hAnsi="Times New Roman" w:cs="Times New Roman"/>
              <w:noProof/>
              <w:sz w:val="24"/>
              <w:szCs w:val="24"/>
            </w:rPr>
            <w:t>1</w:t>
          </w:r>
          <w:r w:rsidR="00B64483">
            <w:rPr>
              <w:rFonts w:ascii="Times New Roman" w:eastAsia="Times New Roman" w:hAnsi="Times New Roman" w:cs="Times New Roman"/>
              <w:noProof/>
              <w:sz w:val="24"/>
              <w:szCs w:val="24"/>
            </w:rPr>
            <w:t>0</w:t>
          </w:r>
          <w:r w:rsidR="00901C9A">
            <w:rPr>
              <w:rFonts w:ascii="Times New Roman" w:eastAsia="Times New Roman" w:hAnsi="Times New Roman" w:cs="Times New Roman"/>
              <w:noProof/>
              <w:sz w:val="24"/>
              <w:szCs w:val="24"/>
            </w:rPr>
            <w:t>-</w:t>
          </w:r>
          <w:r w:rsidR="00B64483">
            <w:rPr>
              <w:rFonts w:ascii="Times New Roman" w:eastAsia="Times New Roman" w:hAnsi="Times New Roman" w:cs="Times New Roman"/>
              <w:noProof/>
              <w:sz w:val="24"/>
              <w:szCs w:val="24"/>
            </w:rPr>
            <w:t>31</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Pr="00901C9A" w:rsidRDefault="00D726FA" w:rsidP="004E4612">
          <w:pPr>
            <w:spacing w:after="120" w:line="20" w:lineRule="atLeast"/>
            <w:contextualSpacing/>
            <w:jc w:val="center"/>
            <w:rPr>
              <w:rFonts w:ascii="Times New Roman" w:hAnsi="Times New Roman" w:cs="Times New Roman"/>
              <w:b/>
              <w:bCs/>
              <w:sz w:val="24"/>
              <w:szCs w:val="24"/>
            </w:rPr>
          </w:pPr>
          <w:r w:rsidRPr="00901C9A">
            <w:rPr>
              <w:rFonts w:ascii="Times New Roman" w:hAnsi="Times New Roman" w:cs="Times New Roman"/>
              <w:b/>
              <w:bCs/>
              <w:sz w:val="24"/>
              <w:szCs w:val="24"/>
            </w:rPr>
            <w:t xml:space="preserve">SUPAPRASTINTO VIEŠOJO PIRKIMO </w:t>
          </w:r>
        </w:p>
        <w:p w14:paraId="17FB7C4F" w14:textId="77777777" w:rsidR="00901C9A" w:rsidRPr="00901C9A" w:rsidRDefault="00901C9A" w:rsidP="00901C9A">
          <w:pPr>
            <w:spacing w:after="0" w:line="240" w:lineRule="auto"/>
            <w:jc w:val="center"/>
            <w:rPr>
              <w:rFonts w:ascii="Times New Roman" w:eastAsia="Calibri" w:hAnsi="Times New Roman" w:cs="Times New Roman"/>
              <w:b/>
              <w:bCs/>
              <w:sz w:val="24"/>
              <w:szCs w:val="24"/>
              <w:lang w:eastAsia="en-US"/>
            </w:rPr>
          </w:pPr>
          <w:r w:rsidRPr="00901C9A">
            <w:rPr>
              <w:rFonts w:ascii="Times New Roman" w:eastAsia="Calibri" w:hAnsi="Times New Roman" w:cs="Times New Roman"/>
              <w:b/>
              <w:bCs/>
              <w:sz w:val="24"/>
              <w:szCs w:val="24"/>
              <w:lang w:eastAsia="en-US"/>
            </w:rPr>
            <w:t xml:space="preserve">REAGENTAI IR EKSPLOATACINĖS MEDŽIAGOS TROMBOCITŲ </w:t>
          </w:r>
        </w:p>
        <w:p w14:paraId="25DCB3A0" w14:textId="77777777" w:rsidR="00901C9A" w:rsidRPr="00901C9A" w:rsidRDefault="00901C9A" w:rsidP="00901C9A">
          <w:pPr>
            <w:spacing w:after="0" w:line="240" w:lineRule="auto"/>
            <w:jc w:val="center"/>
            <w:rPr>
              <w:rFonts w:ascii="Times New Roman" w:eastAsia="Calibri" w:hAnsi="Times New Roman" w:cs="Times New Roman"/>
              <w:b/>
              <w:bCs/>
              <w:sz w:val="24"/>
              <w:szCs w:val="24"/>
              <w:lang w:eastAsia="en-US"/>
            </w:rPr>
          </w:pPr>
          <w:r w:rsidRPr="00901C9A">
            <w:rPr>
              <w:rFonts w:ascii="Times New Roman" w:eastAsia="Calibri" w:hAnsi="Times New Roman" w:cs="Times New Roman"/>
              <w:b/>
              <w:bCs/>
              <w:sz w:val="24"/>
              <w:szCs w:val="24"/>
              <w:lang w:eastAsia="en-US"/>
            </w:rPr>
            <w:t xml:space="preserve">ANTIAGREGANTŲ POVEIKIO TYRIMŲ ATLIKIMUI KARTU </w:t>
          </w:r>
        </w:p>
        <w:p w14:paraId="4A719B5A" w14:textId="1EE3BB32" w:rsidR="00D726FA" w:rsidRPr="00901C9A" w:rsidRDefault="00901C9A" w:rsidP="00901C9A">
          <w:pPr>
            <w:spacing w:after="120" w:line="20" w:lineRule="atLeast"/>
            <w:contextualSpacing/>
            <w:jc w:val="center"/>
            <w:rPr>
              <w:rFonts w:ascii="Times New Roman" w:hAnsi="Times New Roman" w:cs="Times New Roman"/>
              <w:b/>
              <w:bCs/>
              <w:sz w:val="24"/>
              <w:szCs w:val="24"/>
            </w:rPr>
          </w:pPr>
          <w:r w:rsidRPr="00901C9A">
            <w:rPr>
              <w:rFonts w:ascii="Times New Roman" w:eastAsia="Calibri" w:hAnsi="Times New Roman" w:cs="Times New Roman"/>
              <w:b/>
              <w:bCs/>
              <w:sz w:val="24"/>
              <w:szCs w:val="24"/>
              <w:lang w:eastAsia="en-US"/>
            </w:rPr>
            <w:t>SU ĮRANGOS PANAUDA IR TECHNINE PRIEŽIŪRA</w:t>
          </w:r>
        </w:p>
        <w:p w14:paraId="18ACC6AD" w14:textId="0835EEFC" w:rsidR="00D526C8" w:rsidRPr="00901C9A" w:rsidRDefault="00D726FA" w:rsidP="004E4612">
          <w:pPr>
            <w:spacing w:after="120" w:line="20" w:lineRule="atLeast"/>
            <w:contextualSpacing/>
            <w:jc w:val="center"/>
            <w:rPr>
              <w:rFonts w:ascii="Times New Roman" w:hAnsi="Times New Roman" w:cs="Times New Roman"/>
              <w:b/>
              <w:bCs/>
              <w:sz w:val="24"/>
              <w:szCs w:val="24"/>
            </w:rPr>
          </w:pPr>
          <w:r w:rsidRPr="00901C9A">
            <w:rPr>
              <w:rFonts w:ascii="Times New Roman" w:hAnsi="Times New Roman" w:cs="Times New Roman"/>
              <w:b/>
              <w:bCs/>
              <w:sz w:val="24"/>
              <w:szCs w:val="24"/>
            </w:rPr>
            <w:t>ATVIRO KONKURSO SPECIALIOSIOS SĄLYGOS</w:t>
          </w:r>
        </w:p>
        <w:p w14:paraId="0FC90D8B" w14:textId="77777777" w:rsidR="00D526C8" w:rsidRPr="00901C9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5119392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4FB2520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0701AD9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666E160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285115D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49C0A60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7EAD9C0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65488C3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2B371C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7C40C52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5BD8956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1EE96738"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7B29830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hyperlink>
            </w:p>
            <w:p w14:paraId="398C44A0" w14:textId="02952394"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2E828B81"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612EAA2E"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67C45D23" w14:textId="56C7F67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hyperlink>
            </w:p>
            <w:p w14:paraId="733604C4" w14:textId="5664BCCE"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hyperlink>
            </w:p>
            <w:p w14:paraId="511FDCED" w14:textId="721091ED"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hyperlink>
            </w:p>
            <w:p w14:paraId="412A4763" w14:textId="0E536457" w:rsidR="009B25C3" w:rsidRDefault="001C24BC" w:rsidP="009B25C3">
              <w:pPr>
                <w:pStyle w:val="Turinys2"/>
                <w:rPr>
                  <w:noProof/>
                  <w:kern w:val="2"/>
                  <w:sz w:val="22"/>
                  <w:szCs w:val="22"/>
                  <w14:ligatures w14:val="standardContextual"/>
                </w:rPr>
              </w:pPr>
              <w:r w:rsidRPr="00D51822">
                <w:rPr>
                  <w:rFonts w:ascii="Times New Roman" w:hAnsi="Times New Roman" w:cs="Times New Roman"/>
                  <w:b/>
                  <w:bCs/>
                  <w:color w:val="FF0000"/>
                  <w:sz w:val="24"/>
                  <w:szCs w:val="24"/>
                  <w:shd w:val="clear" w:color="auto" w:fill="E6E6E6"/>
                </w:rPr>
                <w:fldChar w:fldCharType="end"/>
              </w:r>
              <w:hyperlink w:anchor="_Toc166755536" w:history="1">
                <w:r w:rsidR="009B25C3" w:rsidRPr="00BE251C">
                  <w:rPr>
                    <w:rStyle w:val="Hipersaitas"/>
                    <w:rFonts w:ascii="Times New Roman" w:hAnsi="Times New Roman" w:cs="Times New Roman"/>
                    <w:b/>
                    <w:bCs/>
                    <w:noProof/>
                  </w:rPr>
                  <w:t xml:space="preserve">Pirkimo sąlygų </w:t>
                </w:r>
                <w:r w:rsidR="009B25C3">
                  <w:rPr>
                    <w:rStyle w:val="Hipersaitas"/>
                    <w:rFonts w:ascii="Times New Roman" w:hAnsi="Times New Roman" w:cs="Times New Roman"/>
                    <w:b/>
                    <w:bCs/>
                    <w:noProof/>
                  </w:rPr>
                  <w:t>9</w:t>
                </w:r>
                <w:r w:rsidR="009B25C3" w:rsidRPr="00BE251C">
                  <w:rPr>
                    <w:rStyle w:val="Hipersaitas"/>
                    <w:rFonts w:ascii="Times New Roman" w:hAnsi="Times New Roman" w:cs="Times New Roman"/>
                    <w:b/>
                    <w:bCs/>
                    <w:noProof/>
                  </w:rPr>
                  <w:t xml:space="preserve"> priedas „</w:t>
                </w:r>
                <w:r w:rsidR="009B25C3">
                  <w:rPr>
                    <w:rStyle w:val="Hipersaitas"/>
                    <w:rFonts w:ascii="Times New Roman" w:hAnsi="Times New Roman" w:cs="Times New Roman"/>
                    <w:b/>
                    <w:bCs/>
                    <w:noProof/>
                  </w:rPr>
                  <w:t>Panaudos s</w:t>
                </w:r>
                <w:r w:rsidR="009B25C3" w:rsidRPr="00BE251C">
                  <w:rPr>
                    <w:rStyle w:val="Hipersaitas"/>
                    <w:rFonts w:ascii="Times New Roman" w:hAnsi="Times New Roman" w:cs="Times New Roman"/>
                    <w:b/>
                    <w:bCs/>
                    <w:noProof/>
                  </w:rPr>
                  <w:t>utarties projektas“</w:t>
                </w:r>
                <w:r w:rsidR="009B25C3">
                  <w:rPr>
                    <w:noProof/>
                    <w:webHidden/>
                  </w:rPr>
                  <w:tab/>
                </w:r>
              </w:hyperlink>
            </w:p>
            <w:p w14:paraId="0DDC40AE" w14:textId="0E016F28" w:rsidR="001C24BC" w:rsidRPr="00D51822" w:rsidRDefault="00FA0648"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584361DA"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F6471">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2F47ACC0"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901C9A">
        <w:rPr>
          <w:rFonts w:ascii="Times New Roman" w:hAnsi="Times New Roman" w:cs="Times New Roman"/>
          <w:sz w:val="24"/>
          <w:szCs w:val="24"/>
        </w:rPr>
        <w:t>Birutė Navickienė</w:t>
      </w:r>
      <w:r w:rsidRPr="00DC7491">
        <w:rPr>
          <w:rFonts w:ascii="Times New Roman" w:hAnsi="Times New Roman" w:cs="Times New Roman"/>
          <w:sz w:val="24"/>
          <w:szCs w:val="24"/>
        </w:rPr>
        <w:t xml:space="preserve">, VšĮ Klaipėdos universiteto ligoninė Viešųjų pirkimų skyriaus vyr. specialistė, tel. +370 46 </w:t>
      </w:r>
      <w:r w:rsidR="00901C9A">
        <w:rPr>
          <w:rFonts w:ascii="Times New Roman" w:hAnsi="Times New Roman" w:cs="Times New Roman"/>
          <w:sz w:val="24"/>
          <w:szCs w:val="24"/>
        </w:rPr>
        <w:t>491014</w:t>
      </w:r>
      <w:r w:rsidRPr="00DC7491">
        <w:rPr>
          <w:rFonts w:ascii="Times New Roman" w:hAnsi="Times New Roman" w:cs="Times New Roman"/>
          <w:sz w:val="24"/>
          <w:szCs w:val="24"/>
        </w:rPr>
        <w:t xml:space="preserve">, el. p. </w:t>
      </w:r>
      <w:proofErr w:type="spellStart"/>
      <w:r w:rsidR="00901C9A">
        <w:rPr>
          <w:rFonts w:ascii="Times New Roman" w:hAnsi="Times New Roman" w:cs="Times New Roman"/>
          <w:sz w:val="24"/>
          <w:szCs w:val="24"/>
        </w:rPr>
        <w:t>birute.navickiene</w:t>
      </w:r>
      <w:r w:rsidRPr="00DC7491">
        <w:rPr>
          <w:rFonts w:ascii="Times New Roman" w:hAnsi="Times New Roman" w:cs="Times New Roman"/>
          <w:sz w:val="24"/>
          <w:szCs w:val="24"/>
        </w:rPr>
        <w:t>@kul.lt</w:t>
      </w:r>
      <w:proofErr w:type="spellEnd"/>
      <w:r w:rsidRPr="00DC7491">
        <w:rPr>
          <w:rFonts w:ascii="Times New Roman" w:hAnsi="Times New Roman" w:cs="Times New Roman"/>
          <w:sz w:val="24"/>
          <w:szCs w:val="24"/>
        </w:rPr>
        <w:t>.</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1EDCC18" w:rsidR="00B41C66" w:rsidRPr="001C11DD" w:rsidRDefault="00B76FBB" w:rsidP="00D55735">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1C11DD">
        <w:rPr>
          <w:rFonts w:ascii="Times New Roman" w:eastAsia="Calibri" w:hAnsi="Times New Roman" w:cs="Times New Roman"/>
          <w:color w:val="000000" w:themeColor="text1"/>
          <w:sz w:val="24"/>
          <w:szCs w:val="24"/>
        </w:rPr>
        <w:t xml:space="preserve">Perkančioji organizacija numato įsigyti </w:t>
      </w:r>
      <w:r w:rsidR="00DD5196">
        <w:rPr>
          <w:rFonts w:ascii="Times New Roman" w:eastAsia="Calibri" w:hAnsi="Times New Roman" w:cs="Times New Roman"/>
          <w:sz w:val="24"/>
          <w:szCs w:val="24"/>
          <w:lang w:eastAsia="en-US"/>
        </w:rPr>
        <w:t>r</w:t>
      </w:r>
      <w:r w:rsidR="00DD5196" w:rsidRPr="00DD5196">
        <w:rPr>
          <w:rFonts w:ascii="Times New Roman" w:eastAsia="Calibri" w:hAnsi="Times New Roman" w:cs="Times New Roman"/>
          <w:sz w:val="24"/>
          <w:szCs w:val="24"/>
          <w:lang w:eastAsia="en-US"/>
        </w:rPr>
        <w:t>eagent</w:t>
      </w:r>
      <w:r w:rsidR="00DD5196">
        <w:rPr>
          <w:rFonts w:ascii="Times New Roman" w:eastAsia="Calibri" w:hAnsi="Times New Roman" w:cs="Times New Roman"/>
          <w:sz w:val="24"/>
          <w:szCs w:val="24"/>
          <w:lang w:eastAsia="en-US"/>
        </w:rPr>
        <w:t>us</w:t>
      </w:r>
      <w:r w:rsidR="00DD5196" w:rsidRPr="00DD5196">
        <w:rPr>
          <w:rFonts w:ascii="Times New Roman" w:eastAsia="Calibri" w:hAnsi="Times New Roman" w:cs="Times New Roman"/>
          <w:sz w:val="24"/>
          <w:szCs w:val="24"/>
          <w:lang w:eastAsia="en-US"/>
        </w:rPr>
        <w:t xml:space="preserve"> ir eksploatacin</w:t>
      </w:r>
      <w:r w:rsidR="00DD5196">
        <w:rPr>
          <w:rFonts w:ascii="Times New Roman" w:eastAsia="Calibri" w:hAnsi="Times New Roman" w:cs="Times New Roman"/>
          <w:sz w:val="24"/>
          <w:szCs w:val="24"/>
          <w:lang w:eastAsia="en-US"/>
        </w:rPr>
        <w:t>e</w:t>
      </w:r>
      <w:r w:rsidR="00DD5196" w:rsidRPr="00DD5196">
        <w:rPr>
          <w:rFonts w:ascii="Times New Roman" w:eastAsia="Calibri" w:hAnsi="Times New Roman" w:cs="Times New Roman"/>
          <w:sz w:val="24"/>
          <w:szCs w:val="24"/>
          <w:lang w:eastAsia="en-US"/>
        </w:rPr>
        <w:t>s medžiag</w:t>
      </w:r>
      <w:r w:rsidR="00DD5196">
        <w:rPr>
          <w:rFonts w:ascii="Times New Roman" w:eastAsia="Calibri" w:hAnsi="Times New Roman" w:cs="Times New Roman"/>
          <w:sz w:val="24"/>
          <w:szCs w:val="24"/>
          <w:lang w:eastAsia="en-US"/>
        </w:rPr>
        <w:t>a</w:t>
      </w:r>
      <w:r w:rsidR="00DD5196" w:rsidRPr="00DD5196">
        <w:rPr>
          <w:rFonts w:ascii="Times New Roman" w:eastAsia="Calibri" w:hAnsi="Times New Roman" w:cs="Times New Roman"/>
          <w:sz w:val="24"/>
          <w:szCs w:val="24"/>
          <w:lang w:eastAsia="en-US"/>
        </w:rPr>
        <w:t xml:space="preserve">s trombocitų </w:t>
      </w:r>
      <w:proofErr w:type="spellStart"/>
      <w:r w:rsidR="00DD5196" w:rsidRPr="00DD5196">
        <w:rPr>
          <w:rFonts w:ascii="Times New Roman" w:eastAsia="Calibri" w:hAnsi="Times New Roman" w:cs="Times New Roman"/>
          <w:sz w:val="24"/>
          <w:szCs w:val="24"/>
          <w:lang w:eastAsia="en-US"/>
        </w:rPr>
        <w:t>antiagregantų</w:t>
      </w:r>
      <w:proofErr w:type="spellEnd"/>
      <w:r w:rsidR="00DD5196" w:rsidRPr="00DD5196">
        <w:rPr>
          <w:rFonts w:ascii="Times New Roman" w:eastAsia="Calibri" w:hAnsi="Times New Roman" w:cs="Times New Roman"/>
          <w:sz w:val="24"/>
          <w:szCs w:val="24"/>
          <w:lang w:eastAsia="en-US"/>
        </w:rPr>
        <w:t xml:space="preserve"> poveikio tyrimų atlikimui kartu su įrangos panauda ir technine priežiūra</w:t>
      </w:r>
      <w:r w:rsidR="00F952AB" w:rsidRPr="001C11DD">
        <w:rPr>
          <w:rFonts w:ascii="Times New Roman" w:eastAsia="TimesNewRomanPS-BoldMT" w:hAnsi="Times New Roman" w:cs="Times New Roman"/>
          <w:sz w:val="24"/>
          <w:szCs w:val="24"/>
          <w:lang w:eastAsia="en-US"/>
          <w14:ligatures w14:val="standardContextual"/>
        </w:rPr>
        <w:t xml:space="preserve">. </w:t>
      </w:r>
      <w:r w:rsidR="003454AD" w:rsidRPr="001C11DD">
        <w:rPr>
          <w:rFonts w:ascii="Times New Roman" w:hAnsi="Times New Roman" w:cs="Times New Roman"/>
          <w:sz w:val="24"/>
          <w:szCs w:val="24"/>
        </w:rPr>
        <w:t>R</w:t>
      </w:r>
      <w:r w:rsidR="00B41C66" w:rsidRPr="001C11DD">
        <w:rPr>
          <w:rFonts w:ascii="Times New Roman" w:hAnsi="Times New Roman" w:cs="Times New Roman"/>
          <w:sz w:val="24"/>
          <w:szCs w:val="24"/>
        </w:rPr>
        <w:t xml:space="preserve">eikalavimai pirkimo objektui nustatyti </w:t>
      </w:r>
      <w:r w:rsidR="00704310" w:rsidRPr="001C11DD">
        <w:rPr>
          <w:rFonts w:ascii="Times New Roman" w:hAnsi="Times New Roman" w:cs="Times New Roman"/>
          <w:sz w:val="24"/>
          <w:szCs w:val="24"/>
        </w:rPr>
        <w:t>s</w:t>
      </w:r>
      <w:r w:rsidR="00444CAF" w:rsidRPr="001C11DD">
        <w:rPr>
          <w:rFonts w:ascii="Times New Roman" w:hAnsi="Times New Roman" w:cs="Times New Roman"/>
          <w:sz w:val="24"/>
          <w:szCs w:val="24"/>
        </w:rPr>
        <w:t xml:space="preserve">pecialiųjų </w:t>
      </w:r>
      <w:r w:rsidR="00CE7209" w:rsidRPr="001C11DD">
        <w:rPr>
          <w:rFonts w:ascii="Times New Roman" w:hAnsi="Times New Roman" w:cs="Times New Roman"/>
          <w:sz w:val="24"/>
          <w:szCs w:val="24"/>
        </w:rPr>
        <w:t xml:space="preserve">pirkimo </w:t>
      </w:r>
      <w:r w:rsidR="00444CAF" w:rsidRPr="001C11DD">
        <w:rPr>
          <w:rFonts w:ascii="Times New Roman" w:hAnsi="Times New Roman" w:cs="Times New Roman"/>
          <w:sz w:val="24"/>
          <w:szCs w:val="24"/>
        </w:rPr>
        <w:t xml:space="preserve">sąlygų </w:t>
      </w:r>
      <w:r w:rsidR="00DD5196">
        <w:rPr>
          <w:rFonts w:ascii="Times New Roman" w:hAnsi="Times New Roman" w:cs="Times New Roman"/>
          <w:sz w:val="24"/>
          <w:szCs w:val="24"/>
        </w:rPr>
        <w:t xml:space="preserve">2 </w:t>
      </w:r>
      <w:r w:rsidR="00444CAF" w:rsidRPr="001C11DD">
        <w:rPr>
          <w:rFonts w:ascii="Times New Roman" w:hAnsi="Times New Roman" w:cs="Times New Roman"/>
          <w:sz w:val="24"/>
          <w:szCs w:val="24"/>
        </w:rPr>
        <w:t>pried</w:t>
      </w:r>
      <w:r w:rsidR="00382B47" w:rsidRPr="001C11DD">
        <w:rPr>
          <w:rFonts w:ascii="Times New Roman" w:hAnsi="Times New Roman" w:cs="Times New Roman"/>
          <w:sz w:val="24"/>
          <w:szCs w:val="24"/>
        </w:rPr>
        <w:t>e</w:t>
      </w:r>
      <w:r w:rsidR="00105BF7" w:rsidRPr="001C11DD">
        <w:rPr>
          <w:rFonts w:ascii="Times New Roman" w:hAnsi="Times New Roman" w:cs="Times New Roman"/>
          <w:sz w:val="24"/>
          <w:szCs w:val="24"/>
        </w:rPr>
        <w:t xml:space="preserve"> „</w:t>
      </w:r>
      <w:r w:rsidR="00DD5196">
        <w:rPr>
          <w:rFonts w:ascii="Times New Roman" w:hAnsi="Times New Roman" w:cs="Times New Roman"/>
          <w:sz w:val="24"/>
          <w:szCs w:val="24"/>
        </w:rPr>
        <w:t>T</w:t>
      </w:r>
      <w:r w:rsidR="000F07B8" w:rsidRPr="001C11DD">
        <w:rPr>
          <w:rFonts w:ascii="Times New Roman" w:hAnsi="Times New Roman" w:cs="Times New Roman"/>
          <w:sz w:val="24"/>
          <w:szCs w:val="24"/>
        </w:rPr>
        <w:t>echninė specifikacija</w:t>
      </w:r>
      <w:r w:rsidR="00105BF7" w:rsidRPr="001C11DD">
        <w:rPr>
          <w:rFonts w:ascii="Times New Roman" w:hAnsi="Times New Roman" w:cs="Times New Roman"/>
          <w:sz w:val="24"/>
          <w:szCs w:val="24"/>
        </w:rPr>
        <w:t>“</w:t>
      </w:r>
      <w:r w:rsidR="00382B47" w:rsidRPr="001C11DD">
        <w:rPr>
          <w:rFonts w:ascii="Times New Roman" w:hAnsi="Times New Roman" w:cs="Times New Roman"/>
          <w:sz w:val="24"/>
          <w:szCs w:val="24"/>
        </w:rPr>
        <w:t xml:space="preserve"> </w:t>
      </w:r>
      <w:r w:rsidR="000E27F8" w:rsidRPr="001C11DD">
        <w:rPr>
          <w:rFonts w:ascii="Times New Roman" w:hAnsi="Times New Roman" w:cs="Times New Roman"/>
          <w:sz w:val="24"/>
          <w:szCs w:val="24"/>
        </w:rPr>
        <w:t xml:space="preserve">ir </w:t>
      </w:r>
      <w:r w:rsidR="00DD5196">
        <w:rPr>
          <w:rFonts w:ascii="Times New Roman" w:hAnsi="Times New Roman" w:cs="Times New Roman"/>
          <w:sz w:val="24"/>
          <w:szCs w:val="24"/>
        </w:rPr>
        <w:t xml:space="preserve">8 priede </w:t>
      </w:r>
      <w:r w:rsidR="000E27F8" w:rsidRPr="001C11DD">
        <w:rPr>
          <w:rFonts w:ascii="Times New Roman" w:hAnsi="Times New Roman" w:cs="Times New Roman"/>
          <w:sz w:val="24"/>
          <w:szCs w:val="24"/>
        </w:rPr>
        <w:t>„Sutarties projektas“</w:t>
      </w:r>
      <w:r w:rsidR="00B41C66" w:rsidRPr="001C11DD">
        <w:rPr>
          <w:rFonts w:ascii="Times New Roman" w:hAnsi="Times New Roman" w:cs="Times New Roman"/>
          <w:sz w:val="24"/>
          <w:szCs w:val="24"/>
        </w:rPr>
        <w:t>.</w:t>
      </w:r>
    </w:p>
    <w:p w14:paraId="68519FB6" w14:textId="737F5B13" w:rsidR="001C11DD" w:rsidRDefault="00DF35F4" w:rsidP="00C268A2">
      <w:pPr>
        <w:pStyle w:val="Betarp"/>
        <w:numPr>
          <w:ilvl w:val="1"/>
          <w:numId w:val="35"/>
        </w:numPr>
        <w:tabs>
          <w:tab w:val="left" w:pos="1134"/>
        </w:tabs>
        <w:ind w:left="0" w:firstLine="567"/>
        <w:contextualSpacing/>
        <w:jc w:val="both"/>
        <w:rPr>
          <w:rFonts w:ascii="Times New Roman" w:hAnsi="Times New Roman" w:cs="Times New Roman"/>
          <w:sz w:val="24"/>
          <w:szCs w:val="24"/>
        </w:rPr>
      </w:pPr>
      <w:r w:rsidRPr="004460B0">
        <w:rPr>
          <w:rFonts w:ascii="Times New Roman" w:hAnsi="Times New Roman" w:cs="Times New Roman"/>
          <w:sz w:val="24"/>
          <w:szCs w:val="24"/>
        </w:rPr>
        <w:t xml:space="preserve"> </w:t>
      </w:r>
      <w:r w:rsidR="00F826B7" w:rsidRPr="004460B0">
        <w:rPr>
          <w:rFonts w:ascii="Times New Roman" w:hAnsi="Times New Roman" w:cs="Times New Roman"/>
          <w:sz w:val="24"/>
          <w:szCs w:val="24"/>
        </w:rPr>
        <w:t xml:space="preserve">Pirkimo objektas </w:t>
      </w:r>
      <w:r w:rsidR="00DC0263" w:rsidRPr="004460B0">
        <w:rPr>
          <w:rFonts w:ascii="Times New Roman" w:hAnsi="Times New Roman" w:cs="Times New Roman"/>
          <w:sz w:val="24"/>
          <w:szCs w:val="24"/>
        </w:rPr>
        <w:t>ne</w:t>
      </w:r>
      <w:r w:rsidR="00F826B7" w:rsidRPr="004460B0">
        <w:rPr>
          <w:rFonts w:ascii="Times New Roman" w:hAnsi="Times New Roman" w:cs="Times New Roman"/>
          <w:sz w:val="24"/>
          <w:szCs w:val="24"/>
        </w:rPr>
        <w:t>skaidomas</w:t>
      </w:r>
      <w:r w:rsidR="00AC6163" w:rsidRPr="004460B0">
        <w:rPr>
          <w:rFonts w:ascii="Times New Roman" w:hAnsi="Times New Roman" w:cs="Times New Roman"/>
          <w:sz w:val="24"/>
          <w:szCs w:val="24"/>
        </w:rPr>
        <w:t xml:space="preserve"> į</w:t>
      </w:r>
      <w:r w:rsidR="00F952AB" w:rsidRPr="004460B0">
        <w:rPr>
          <w:rFonts w:ascii="Times New Roman" w:hAnsi="Times New Roman" w:cs="Times New Roman"/>
          <w:sz w:val="24"/>
          <w:szCs w:val="24"/>
        </w:rPr>
        <w:t xml:space="preserve"> </w:t>
      </w:r>
      <w:r w:rsidR="00AC6163" w:rsidRPr="004460B0">
        <w:rPr>
          <w:rFonts w:ascii="Times New Roman" w:hAnsi="Times New Roman" w:cs="Times New Roman"/>
          <w:sz w:val="24"/>
          <w:szCs w:val="24"/>
        </w:rPr>
        <w:t>pirkimo dalis</w:t>
      </w:r>
      <w:r w:rsidR="00F826B7" w:rsidRPr="004460B0">
        <w:rPr>
          <w:rFonts w:ascii="Times New Roman" w:hAnsi="Times New Roman" w:cs="Times New Roman"/>
          <w:sz w:val="24"/>
          <w:szCs w:val="24"/>
        </w:rPr>
        <w:t xml:space="preserve">. </w:t>
      </w:r>
      <w:r w:rsidR="001C11DD" w:rsidRPr="004460B0">
        <w:rPr>
          <w:rFonts w:ascii="Times New Roman" w:hAnsi="Times New Roman" w:cs="Times New Roman"/>
          <w:sz w:val="24"/>
          <w:szCs w:val="24"/>
        </w:rPr>
        <w:t>Pasiūlymas turi būti pateiktas visai pirkimo sąlygų techninėje specifikacijoje nurodytai pirkimo dalies apimčiai, neskaidant jos smulkiau. Prekės bus užsakomos dalimis, pagal Perkančiosios organizacijos poreikį visą viešojo pirkimo sutarties galiojimo laikotarpį. Perkančioji organizacija dėl nenumatytų aplinkybių pasilieka teisę neišpirkti viso Techninėje specifikacijoje numatyto preliminaraus Prekių kiekio.</w:t>
      </w:r>
    </w:p>
    <w:p w14:paraId="7A670133" w14:textId="52CDF40C" w:rsidR="00BC713B" w:rsidRPr="004460B0" w:rsidRDefault="00BC713B" w:rsidP="00C268A2">
      <w:pPr>
        <w:pStyle w:val="Betarp"/>
        <w:numPr>
          <w:ilvl w:val="1"/>
          <w:numId w:val="35"/>
        </w:numPr>
        <w:tabs>
          <w:tab w:val="left" w:pos="1134"/>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2 priede „</w:t>
      </w:r>
      <w:r w:rsidRPr="00BC713B">
        <w:rPr>
          <w:rFonts w:ascii="Times New Roman" w:hAnsi="Times New Roman" w:cs="Times New Roman"/>
          <w:sz w:val="24"/>
          <w:szCs w:val="24"/>
        </w:rPr>
        <w:t>Techninė specifikacij</w:t>
      </w:r>
      <w:r>
        <w:rPr>
          <w:rFonts w:ascii="Times New Roman" w:hAnsi="Times New Roman" w:cs="Times New Roman"/>
          <w:sz w:val="24"/>
          <w:szCs w:val="24"/>
        </w:rPr>
        <w:t>a“</w:t>
      </w:r>
      <w:r w:rsidRPr="00BC713B">
        <w:rPr>
          <w:rFonts w:ascii="Times New Roman" w:hAnsi="Times New Roman" w:cs="Times New Roman"/>
          <w:sz w:val="24"/>
          <w:szCs w:val="24"/>
        </w:rPr>
        <w:t xml:space="preserve"> nurodyti preliminarūs tyrimų ir papildomų priemonių kiekiai, kurie nelaikomi maksimaliais ir bus naudojami tik pasiūlymų vertinimui. Vertinant pasiūlymą, bus vertinama įkainių, padaugintų iš apytiksliai numatomų įsigyti prekių kiekių suma. Pradinės sutarties vertė bus lygi pirkimui skirtai lėšų sumai, pirkimo dokumentuose ir sutartyje nurodytų paslaugų įsigijimui tiekėjo pasiūlyme nurodytais įkainiais.</w:t>
      </w:r>
    </w:p>
    <w:p w14:paraId="265627E2" w14:textId="77777777" w:rsidR="001C11DD" w:rsidRDefault="00E53E12" w:rsidP="00C268A2">
      <w:pPr>
        <w:pStyle w:val="Betarp"/>
        <w:numPr>
          <w:ilvl w:val="1"/>
          <w:numId w:val="35"/>
        </w:numPr>
        <w:tabs>
          <w:tab w:val="left" w:pos="1134"/>
        </w:tabs>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C11DD">
        <w:rPr>
          <w:rFonts w:ascii="Times New Roman" w:hAnsi="Times New Roman" w:cs="Times New Roman"/>
          <w:sz w:val="24"/>
          <w:szCs w:val="24"/>
        </w:rPr>
        <w:t xml:space="preserve">turi būti </w:t>
      </w:r>
      <w:r w:rsidR="00AE7624" w:rsidRPr="001C11DD">
        <w:rPr>
          <w:rFonts w:ascii="Times New Roman" w:hAnsi="Times New Roman" w:cs="Times New Roman"/>
          <w:sz w:val="24"/>
          <w:szCs w:val="24"/>
        </w:rPr>
        <w:t xml:space="preserve">laikoma, kad kiekviena tokia nuoroda yra pateikta su žodžiais „arba lygiavertis“. </w:t>
      </w:r>
    </w:p>
    <w:p w14:paraId="21F54ED1" w14:textId="5B13845B" w:rsidR="003F1DE7" w:rsidRDefault="003F1DE7" w:rsidP="00C268A2">
      <w:pPr>
        <w:pStyle w:val="Betarp"/>
        <w:tabs>
          <w:tab w:val="left" w:pos="1134"/>
        </w:tabs>
        <w:ind w:firstLine="567"/>
        <w:contextualSpacing/>
        <w:jc w:val="both"/>
        <w:rPr>
          <w:rFonts w:ascii="Times New Roman" w:hAnsi="Times New Roman" w:cs="Times New Roman"/>
          <w:sz w:val="24"/>
          <w:szCs w:val="24"/>
        </w:rPr>
      </w:pPr>
      <w:r w:rsidRPr="003F1DE7">
        <w:rPr>
          <w:rFonts w:ascii="Times New Roman" w:hAnsi="Times New Roman" w:cs="Times New Roman"/>
          <w:sz w:val="24"/>
          <w:szCs w:val="24"/>
        </w:rPr>
        <w:t>2.4. Dėl Įrangos perdavimo pagal panaudą, Šalys sudaro atskirą Įrangos panaudos sutartį (</w:t>
      </w:r>
      <w:r w:rsidR="00FA0648">
        <w:rPr>
          <w:rFonts w:ascii="Times New Roman" w:hAnsi="Times New Roman" w:cs="Times New Roman"/>
          <w:sz w:val="24"/>
          <w:szCs w:val="24"/>
        </w:rPr>
        <w:t>9</w:t>
      </w:r>
      <w:r w:rsidRPr="003F1DE7">
        <w:rPr>
          <w:rFonts w:ascii="Times New Roman" w:hAnsi="Times New Roman" w:cs="Times New Roman"/>
          <w:sz w:val="24"/>
          <w:szCs w:val="24"/>
        </w:rPr>
        <w:t xml:space="preserve"> priedas).</w:t>
      </w:r>
    </w:p>
    <w:p w14:paraId="3031DC86" w14:textId="47B36911" w:rsidR="00004521" w:rsidRPr="001C11DD" w:rsidRDefault="00004521" w:rsidP="00C268A2">
      <w:pPr>
        <w:pStyle w:val="Betarp"/>
        <w:numPr>
          <w:ilvl w:val="1"/>
          <w:numId w:val="36"/>
        </w:numPr>
        <w:tabs>
          <w:tab w:val="left" w:pos="1134"/>
        </w:tabs>
        <w:ind w:left="0" w:firstLine="567"/>
        <w:contextualSpacing/>
        <w:jc w:val="both"/>
        <w:rPr>
          <w:rFonts w:ascii="Times New Roman" w:hAnsi="Times New Roman" w:cs="Times New Roman"/>
          <w:sz w:val="24"/>
          <w:szCs w:val="24"/>
        </w:rPr>
      </w:pPr>
      <w:r w:rsidRPr="001C11DD">
        <w:rPr>
          <w:rFonts w:ascii="Times New Roman" w:hAnsi="Times New Roman" w:cs="Times New Roman"/>
          <w:sz w:val="24"/>
          <w:szCs w:val="24"/>
        </w:rPr>
        <w:t>Jeigu apibūdinant pirkimo objektą techninėje specifikacijoje nurodytas standartas</w:t>
      </w:r>
      <w:r w:rsidR="00245655" w:rsidRPr="001C11DD">
        <w:rPr>
          <w:rFonts w:ascii="Times New Roman" w:hAnsi="Times New Roman" w:cs="Times New Roman"/>
          <w:sz w:val="24"/>
          <w:szCs w:val="24"/>
        </w:rPr>
        <w:t xml:space="preserve">, </w:t>
      </w:r>
      <w:r w:rsidR="00245655" w:rsidRPr="001C11DD">
        <w:rPr>
          <w:rFonts w:ascii="Times New Roman" w:hAnsi="Times New Roman" w:cs="Times New Roman"/>
          <w:color w:val="000000"/>
          <w:sz w:val="24"/>
          <w:szCs w:val="24"/>
        </w:rPr>
        <w:t>techninis liudijimas ar bendrosios techninės specifikacijos</w:t>
      </w:r>
      <w:r w:rsidR="00046522" w:rsidRPr="001C11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1C11DD">
        <w:rPr>
          <w:rFonts w:ascii="Times New Roman" w:hAnsi="Times New Roman" w:cs="Times New Roman"/>
          <w:color w:val="000000"/>
          <w:sz w:val="24"/>
          <w:szCs w:val="24"/>
        </w:rPr>
        <w:lastRenderedPageBreak/>
        <w:t>nacionalinės techninės specifikacijos susijusios su prekių naudojimu)</w:t>
      </w:r>
      <w:r w:rsidR="00245655" w:rsidRPr="001C11DD">
        <w:rPr>
          <w:rFonts w:ascii="Times New Roman" w:hAnsi="Times New Roman" w:cs="Times New Roman"/>
          <w:color w:val="000000"/>
          <w:sz w:val="24"/>
          <w:szCs w:val="24"/>
        </w:rPr>
        <w:t xml:space="preserve">, </w:t>
      </w:r>
      <w:r w:rsidR="00245655" w:rsidRPr="001C11D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FA0648" w:rsidRDefault="00192AF9" w:rsidP="006805F1">
      <w:pPr>
        <w:tabs>
          <w:tab w:val="left" w:pos="2492"/>
        </w:tabs>
        <w:spacing w:after="0" w:line="20" w:lineRule="atLeast"/>
        <w:ind w:firstLine="567"/>
        <w:jc w:val="both"/>
        <w:rPr>
          <w:rFonts w:ascii="Times New Roman" w:hAnsi="Times New Roman" w:cs="Times New Roman"/>
          <w:sz w:val="24"/>
          <w:szCs w:val="24"/>
        </w:rPr>
      </w:pPr>
      <w:r w:rsidRPr="00FA0648">
        <w:rPr>
          <w:rFonts w:ascii="Times New Roman" w:hAnsi="Times New Roman" w:cs="Times New Roman"/>
          <w:sz w:val="24"/>
          <w:szCs w:val="24"/>
        </w:rPr>
        <w:t xml:space="preserve">6.1. </w:t>
      </w:r>
      <w:r w:rsidR="00EF5623" w:rsidRPr="00FA0648">
        <w:rPr>
          <w:rFonts w:ascii="Times New Roman" w:hAnsi="Times New Roman" w:cs="Times New Roman"/>
          <w:sz w:val="24"/>
          <w:szCs w:val="24"/>
        </w:rPr>
        <w:t xml:space="preserve">Tiekėjo </w:t>
      </w:r>
      <w:r w:rsidR="0058726C" w:rsidRPr="00FA0648">
        <w:rPr>
          <w:rFonts w:ascii="Times New Roman" w:hAnsi="Times New Roman" w:cs="Times New Roman"/>
          <w:sz w:val="24"/>
          <w:szCs w:val="24"/>
        </w:rPr>
        <w:t>p</w:t>
      </w:r>
      <w:r w:rsidR="00EF5623" w:rsidRPr="00FA0648">
        <w:rPr>
          <w:rFonts w:ascii="Times New Roman" w:hAnsi="Times New Roman" w:cs="Times New Roman"/>
          <w:sz w:val="24"/>
          <w:szCs w:val="24"/>
        </w:rPr>
        <w:t>asiūlymą sudaro CVP IS pateikiamų ir žemiau nurodytų dokumentų visuma</w:t>
      </w:r>
      <w:r w:rsidR="00FD53CF" w:rsidRPr="00FA0648">
        <w:rPr>
          <w:rFonts w:ascii="Times New Roman" w:hAnsi="Times New Roman" w:cs="Times New Roman"/>
          <w:sz w:val="24"/>
          <w:szCs w:val="24"/>
        </w:rPr>
        <w:t>:</w:t>
      </w:r>
    </w:p>
    <w:p w14:paraId="0B17BEF7" w14:textId="6894D26F" w:rsidR="00FF12F1" w:rsidRPr="00FA0648" w:rsidRDefault="006805F1" w:rsidP="006805F1">
      <w:pPr>
        <w:tabs>
          <w:tab w:val="left" w:pos="2492"/>
        </w:tabs>
        <w:spacing w:after="0" w:line="20" w:lineRule="atLeast"/>
        <w:ind w:firstLine="567"/>
        <w:jc w:val="both"/>
        <w:rPr>
          <w:rFonts w:ascii="Times New Roman" w:hAnsi="Times New Roman" w:cs="Times New Roman"/>
          <w:sz w:val="24"/>
          <w:szCs w:val="24"/>
        </w:rPr>
      </w:pPr>
      <w:r w:rsidRPr="00FA0648">
        <w:rPr>
          <w:rFonts w:ascii="Times New Roman" w:hAnsi="Times New Roman" w:cs="Times New Roman"/>
          <w:sz w:val="24"/>
          <w:szCs w:val="24"/>
        </w:rPr>
        <w:t xml:space="preserve">6.1.1. </w:t>
      </w:r>
      <w:r w:rsidR="003F0DA7" w:rsidRPr="00FA0648">
        <w:rPr>
          <w:rFonts w:ascii="Times New Roman" w:hAnsi="Times New Roman" w:cs="Times New Roman"/>
          <w:sz w:val="24"/>
          <w:szCs w:val="24"/>
        </w:rPr>
        <w:t xml:space="preserve">tiekėjo </w:t>
      </w:r>
      <w:r w:rsidR="005A195F" w:rsidRPr="00FA0648">
        <w:rPr>
          <w:rFonts w:ascii="Times New Roman" w:hAnsi="Times New Roman" w:cs="Times New Roman"/>
          <w:sz w:val="24"/>
          <w:szCs w:val="24"/>
        </w:rPr>
        <w:t>p</w:t>
      </w:r>
      <w:r w:rsidR="003F0DA7" w:rsidRPr="00FA0648">
        <w:rPr>
          <w:rFonts w:ascii="Times New Roman" w:hAnsi="Times New Roman" w:cs="Times New Roman"/>
          <w:sz w:val="24"/>
          <w:szCs w:val="24"/>
        </w:rPr>
        <w:t xml:space="preserve">asiūlymas, parengtas pagal </w:t>
      </w:r>
      <w:r w:rsidR="007C1C57" w:rsidRPr="00FA0648">
        <w:rPr>
          <w:rFonts w:ascii="Times New Roman" w:hAnsi="Times New Roman" w:cs="Times New Roman"/>
          <w:sz w:val="24"/>
          <w:szCs w:val="24"/>
        </w:rPr>
        <w:t>specialiųjų p</w:t>
      </w:r>
      <w:r w:rsidR="00551FA7" w:rsidRPr="00FA0648">
        <w:rPr>
          <w:rFonts w:ascii="Times New Roman" w:hAnsi="Times New Roman" w:cs="Times New Roman"/>
          <w:sz w:val="24"/>
          <w:szCs w:val="24"/>
        </w:rPr>
        <w:t xml:space="preserve">irkimo </w:t>
      </w:r>
      <w:r w:rsidR="00476F8C" w:rsidRPr="00FA0648">
        <w:rPr>
          <w:rFonts w:ascii="Times New Roman" w:hAnsi="Times New Roman" w:cs="Times New Roman"/>
          <w:sz w:val="24"/>
          <w:szCs w:val="24"/>
        </w:rPr>
        <w:t>sąlygų</w:t>
      </w:r>
      <w:r w:rsidR="00DE5F20" w:rsidRPr="00FA0648">
        <w:rPr>
          <w:rFonts w:ascii="Times New Roman" w:hAnsi="Times New Roman" w:cs="Times New Roman"/>
          <w:sz w:val="24"/>
          <w:szCs w:val="24"/>
        </w:rPr>
        <w:t xml:space="preserve"> </w:t>
      </w:r>
      <w:r w:rsidR="00500D46" w:rsidRPr="00FA0648">
        <w:rPr>
          <w:rFonts w:ascii="Times New Roman" w:hAnsi="Times New Roman" w:cs="Times New Roman"/>
          <w:sz w:val="24"/>
          <w:szCs w:val="24"/>
          <w:shd w:val="clear" w:color="auto" w:fill="FFFFFF"/>
        </w:rPr>
        <w:t xml:space="preserve">6 </w:t>
      </w:r>
      <w:r w:rsidR="00476F8C" w:rsidRPr="00FA0648">
        <w:rPr>
          <w:rFonts w:ascii="Times New Roman" w:hAnsi="Times New Roman" w:cs="Times New Roman"/>
          <w:sz w:val="24"/>
          <w:szCs w:val="24"/>
        </w:rPr>
        <w:t>pried</w:t>
      </w:r>
      <w:r w:rsidR="00B41044" w:rsidRPr="00FA0648">
        <w:rPr>
          <w:rFonts w:ascii="Times New Roman" w:hAnsi="Times New Roman" w:cs="Times New Roman"/>
          <w:sz w:val="24"/>
          <w:szCs w:val="24"/>
        </w:rPr>
        <w:t>ą</w:t>
      </w:r>
      <w:r w:rsidR="00476F8C" w:rsidRPr="00FA0648">
        <w:rPr>
          <w:rFonts w:ascii="Times New Roman" w:hAnsi="Times New Roman" w:cs="Times New Roman"/>
          <w:sz w:val="24"/>
          <w:szCs w:val="24"/>
        </w:rPr>
        <w:t xml:space="preserve"> </w:t>
      </w:r>
      <w:r w:rsidR="00B41044" w:rsidRPr="00FA0648">
        <w:rPr>
          <w:rFonts w:ascii="Times New Roman" w:hAnsi="Times New Roman" w:cs="Times New Roman"/>
          <w:sz w:val="24"/>
          <w:szCs w:val="24"/>
        </w:rPr>
        <w:t>„P</w:t>
      </w:r>
      <w:r w:rsidR="003F0DA7" w:rsidRPr="00FA0648">
        <w:rPr>
          <w:rFonts w:ascii="Times New Roman" w:hAnsi="Times New Roman" w:cs="Times New Roman"/>
          <w:sz w:val="24"/>
          <w:szCs w:val="24"/>
        </w:rPr>
        <w:t>asiūlymo form</w:t>
      </w:r>
      <w:r w:rsidR="00B41044" w:rsidRPr="00FA0648">
        <w:rPr>
          <w:rFonts w:ascii="Times New Roman" w:hAnsi="Times New Roman" w:cs="Times New Roman"/>
          <w:sz w:val="24"/>
          <w:szCs w:val="24"/>
        </w:rPr>
        <w:t>a“</w:t>
      </w:r>
      <w:r w:rsidR="003F0DA7" w:rsidRPr="00FA0648">
        <w:rPr>
          <w:rFonts w:ascii="Times New Roman" w:hAnsi="Times New Roman" w:cs="Times New Roman"/>
          <w:sz w:val="24"/>
          <w:szCs w:val="24"/>
        </w:rPr>
        <w:t>.</w:t>
      </w:r>
    </w:p>
    <w:p w14:paraId="431D9461" w14:textId="4F6B08BB" w:rsidR="00E64960" w:rsidRPr="00FA0648" w:rsidRDefault="00106DDC" w:rsidP="00106DDC">
      <w:pPr>
        <w:pStyle w:val="Sraopastraipa"/>
        <w:numPr>
          <w:ilvl w:val="2"/>
          <w:numId w:val="11"/>
        </w:numPr>
        <w:spacing w:after="0" w:line="240" w:lineRule="auto"/>
        <w:ind w:left="0" w:firstLine="567"/>
        <w:jc w:val="both"/>
        <w:rPr>
          <w:rFonts w:ascii="Times New Roman" w:hAnsi="Times New Roman" w:cs="Times New Roman"/>
          <w:sz w:val="24"/>
          <w:szCs w:val="24"/>
        </w:rPr>
      </w:pPr>
      <w:r w:rsidRPr="00FA0648">
        <w:rPr>
          <w:rFonts w:ascii="Times New Roman" w:hAnsi="Times New Roman" w:cs="Times New Roman"/>
          <w:sz w:val="24"/>
          <w:szCs w:val="24"/>
        </w:rPr>
        <w:t>užpildytas specialiųjų pirkimo sąlygų 2 priedas „Techninė specifikacija“, pateiktas Excel formatu, kuriame privaloma užpildyti siūlomos prekės techninius reikalavimus;</w:t>
      </w:r>
    </w:p>
    <w:p w14:paraId="3459FD0B" w14:textId="55734B53"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FA0648">
        <w:rPr>
          <w:rFonts w:ascii="Times New Roman" w:hAnsi="Times New Roman" w:cs="Times New Roman"/>
          <w:sz w:val="24"/>
          <w:szCs w:val="24"/>
        </w:rPr>
        <w:t xml:space="preserve">užpildytas EBVPD (specialiųjų pirkimo sąlygų </w:t>
      </w:r>
      <w:r w:rsidR="00500D46" w:rsidRPr="00FA0648">
        <w:rPr>
          <w:rFonts w:ascii="Times New Roman" w:hAnsi="Times New Roman" w:cs="Times New Roman"/>
          <w:sz w:val="24"/>
          <w:szCs w:val="24"/>
        </w:rPr>
        <w:t>5</w:t>
      </w:r>
      <w:r w:rsidRPr="00FA0648">
        <w:rPr>
          <w:rFonts w:ascii="Times New Roman" w:hAnsi="Times New Roman" w:cs="Times New Roman"/>
          <w:sz w:val="24"/>
          <w:szCs w:val="24"/>
        </w:rPr>
        <w:t xml:space="preserve"> 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7981AE"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w:t>
      </w:r>
      <w:r w:rsidR="00E64960">
        <w:rPr>
          <w:rFonts w:ascii="Times New Roman" w:hAnsi="Times New Roman" w:cs="Times New Roman"/>
          <w:sz w:val="24"/>
          <w:szCs w:val="24"/>
        </w:rPr>
        <w:t>4</w:t>
      </w:r>
      <w:r w:rsidRPr="00D51822">
        <w:rPr>
          <w:rFonts w:ascii="Times New Roman" w:hAnsi="Times New Roman" w:cs="Times New Roman"/>
          <w:sz w:val="24"/>
          <w:szCs w:val="24"/>
        </w:rPr>
        <w:t>.</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2BCF3827"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6.1.</w:t>
      </w:r>
      <w:r w:rsidR="00E64960">
        <w:rPr>
          <w:rFonts w:ascii="Times New Roman" w:hAnsi="Times New Roman" w:cs="Times New Roman"/>
          <w:sz w:val="24"/>
          <w:szCs w:val="24"/>
        </w:rPr>
        <w:t>5</w:t>
      </w:r>
      <w:r w:rsidRPr="00D51822">
        <w:rPr>
          <w:rFonts w:ascii="Times New Roman" w:hAnsi="Times New Roman" w:cs="Times New Roman"/>
          <w:sz w:val="24"/>
          <w:szCs w:val="24"/>
        </w:rPr>
        <w:t xml:space="preserve">.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7F4B53FE" w:rsidR="006D0EC0" w:rsidRPr="00E64960" w:rsidRDefault="00212F68" w:rsidP="00E64960">
      <w:pPr>
        <w:pStyle w:val="Sraopastraipa"/>
        <w:numPr>
          <w:ilvl w:val="2"/>
          <w:numId w:val="38"/>
        </w:numPr>
        <w:tabs>
          <w:tab w:val="left" w:pos="1276"/>
          <w:tab w:val="left" w:pos="1418"/>
        </w:tabs>
        <w:spacing w:after="0" w:line="240" w:lineRule="auto"/>
        <w:ind w:hanging="1003"/>
        <w:jc w:val="both"/>
        <w:rPr>
          <w:rFonts w:ascii="Times New Roman" w:hAnsi="Times New Roman" w:cs="Times New Roman"/>
          <w:sz w:val="24"/>
          <w:szCs w:val="24"/>
          <w:u w:val="single"/>
        </w:rPr>
      </w:pPr>
      <w:r w:rsidRPr="00E64960">
        <w:rPr>
          <w:rFonts w:ascii="Times New Roman" w:hAnsi="Times New Roman" w:cs="Times New Roman"/>
          <w:sz w:val="24"/>
          <w:szCs w:val="24"/>
        </w:rPr>
        <w:t>p</w:t>
      </w:r>
      <w:r w:rsidR="006D0EC0" w:rsidRPr="00E64960">
        <w:rPr>
          <w:rFonts w:ascii="Times New Roman" w:hAnsi="Times New Roman" w:cs="Times New Roman"/>
          <w:sz w:val="24"/>
          <w:szCs w:val="24"/>
        </w:rPr>
        <w:t>asiūlymo galiojimą užtikrinantis dokumentas (jeigu reikalaujama);</w:t>
      </w:r>
    </w:p>
    <w:p w14:paraId="53A8B5A3" w14:textId="3EAF43EC" w:rsidR="00450415" w:rsidRPr="00E64960" w:rsidRDefault="00E64960" w:rsidP="00E64960">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6.1.7.</w:t>
      </w:r>
      <w:r w:rsidR="00450415" w:rsidRPr="00E6496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37916B5F" w:rsidR="00450415" w:rsidRPr="00E64960" w:rsidRDefault="00450415" w:rsidP="00E64960">
      <w:pPr>
        <w:pStyle w:val="Sraopastraipa"/>
        <w:numPr>
          <w:ilvl w:val="2"/>
          <w:numId w:val="39"/>
        </w:numPr>
        <w:tabs>
          <w:tab w:val="left" w:pos="1418"/>
        </w:tabs>
        <w:spacing w:after="0" w:line="240" w:lineRule="auto"/>
        <w:ind w:left="142" w:firstLine="425"/>
        <w:jc w:val="both"/>
        <w:rPr>
          <w:rFonts w:ascii="Times New Roman" w:hAnsi="Times New Roman" w:cs="Times New Roman"/>
          <w:sz w:val="24"/>
          <w:szCs w:val="24"/>
          <w:u w:val="single"/>
        </w:rPr>
      </w:pPr>
      <w:r w:rsidRPr="00E64960">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64960">
        <w:rPr>
          <w:rFonts w:ascii="Times New Roman" w:hAnsi="Times New Roman" w:cs="Times New Roman"/>
          <w:sz w:val="24"/>
          <w:szCs w:val="24"/>
        </w:rPr>
        <w:t>p</w:t>
      </w:r>
      <w:r w:rsidRPr="00E64960">
        <w:rPr>
          <w:rFonts w:ascii="Times New Roman" w:hAnsi="Times New Roman" w:cs="Times New Roman"/>
          <w:sz w:val="24"/>
          <w:szCs w:val="24"/>
        </w:rPr>
        <w:t>irkime;</w:t>
      </w:r>
    </w:p>
    <w:p w14:paraId="4EFE9662" w14:textId="77777777" w:rsidR="00DC7491" w:rsidRPr="00026727" w:rsidRDefault="00450415" w:rsidP="00E64960">
      <w:pPr>
        <w:pStyle w:val="Sraopastraipa"/>
        <w:numPr>
          <w:ilvl w:val="2"/>
          <w:numId w:val="39"/>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74B83823" w:rsidR="00DC7491" w:rsidRPr="00026727" w:rsidRDefault="00DC7491" w:rsidP="00E64960">
      <w:pPr>
        <w:pStyle w:val="Sraopastraipa"/>
        <w:numPr>
          <w:ilvl w:val="2"/>
          <w:numId w:val="39"/>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 xml:space="preserve">dokumentai, patvirtinantys pasiūlyme nurodytos prekės atitikimą visiems reikalavimams, nurodytiems kiekviename pirkimo sąlygų </w:t>
      </w:r>
      <w:r w:rsidR="000E06EE">
        <w:rPr>
          <w:rFonts w:ascii="Times New Roman" w:hAnsi="Times New Roman" w:cs="Times New Roman"/>
          <w:b/>
          <w:bCs/>
          <w:sz w:val="24"/>
          <w:szCs w:val="24"/>
        </w:rPr>
        <w:t xml:space="preserve">2 </w:t>
      </w:r>
      <w:r w:rsidRPr="00026727">
        <w:rPr>
          <w:rFonts w:ascii="Times New Roman" w:hAnsi="Times New Roman" w:cs="Times New Roman"/>
          <w:b/>
          <w:bCs/>
          <w:sz w:val="24"/>
          <w:szCs w:val="24"/>
        </w:rPr>
        <w:t>pried</w:t>
      </w:r>
      <w:r w:rsidR="000E06EE">
        <w:rPr>
          <w:rFonts w:ascii="Times New Roman" w:hAnsi="Times New Roman" w:cs="Times New Roman"/>
          <w:b/>
          <w:bCs/>
          <w:sz w:val="24"/>
          <w:szCs w:val="24"/>
        </w:rPr>
        <w:t>o</w:t>
      </w:r>
      <w:r w:rsidRPr="00026727">
        <w:rPr>
          <w:rFonts w:ascii="Times New Roman" w:hAnsi="Times New Roman" w:cs="Times New Roman"/>
          <w:b/>
          <w:bCs/>
          <w:sz w:val="24"/>
          <w:szCs w:val="24"/>
        </w:rPr>
        <w:t xml:space="preserve"> „</w:t>
      </w:r>
      <w:r w:rsidR="000E06EE">
        <w:rPr>
          <w:rFonts w:ascii="Times New Roman" w:hAnsi="Times New Roman" w:cs="Times New Roman"/>
          <w:b/>
          <w:bCs/>
          <w:sz w:val="24"/>
          <w:szCs w:val="24"/>
        </w:rPr>
        <w:t>Techninė specifikacija</w:t>
      </w:r>
      <w:r w:rsidRPr="00026727">
        <w:rPr>
          <w:rFonts w:ascii="Times New Roman" w:hAnsi="Times New Roman" w:cs="Times New Roman"/>
          <w:b/>
          <w:bCs/>
          <w:sz w:val="24"/>
          <w:szCs w:val="24"/>
        </w:rPr>
        <w:t>“ lentel</w:t>
      </w:r>
      <w:r w:rsidR="000E06EE">
        <w:rPr>
          <w:rFonts w:ascii="Times New Roman" w:hAnsi="Times New Roman" w:cs="Times New Roman"/>
          <w:b/>
          <w:bCs/>
          <w:sz w:val="24"/>
          <w:szCs w:val="24"/>
        </w:rPr>
        <w:t>ės</w:t>
      </w:r>
      <w:r w:rsidRPr="00026727">
        <w:rPr>
          <w:rFonts w:ascii="Times New Roman" w:hAnsi="Times New Roman" w:cs="Times New Roman"/>
          <w:b/>
          <w:bCs/>
          <w:sz w:val="24"/>
          <w:szCs w:val="24"/>
        </w:rPr>
        <w:t xml:space="preserve">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w:t>
      </w:r>
      <w:r w:rsidR="000E06EE">
        <w:rPr>
          <w:rFonts w:ascii="Times New Roman" w:hAnsi="Times New Roman" w:cs="Times New Roman"/>
          <w:sz w:val="24"/>
          <w:szCs w:val="24"/>
        </w:rPr>
        <w:t xml:space="preserve"> </w:t>
      </w:r>
      <w:r w:rsidRPr="00026727">
        <w:rPr>
          <w:rFonts w:ascii="Times New Roman" w:hAnsi="Times New Roman" w:cs="Times New Roman"/>
          <w:sz w:val="24"/>
          <w:szCs w:val="24"/>
        </w:rPr>
        <w:t xml:space="preserve"> bei visa informacija, pagrindžiančia prekės atitikimą reikalavimams, nurodytiems Pirkimo sąlygų 6 priedas „Pasiūlymo </w:t>
      </w:r>
      <w:r w:rsidRPr="00026727">
        <w:rPr>
          <w:rFonts w:ascii="Times New Roman" w:hAnsi="Times New Roman" w:cs="Times New Roman"/>
          <w:sz w:val="24"/>
          <w:szCs w:val="24"/>
        </w:rPr>
        <w:lastRenderedPageBreak/>
        <w:t xml:space="preserve">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830027" w14:textId="0C05CD7A"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w:t>
      </w:r>
      <w:r w:rsidR="00B41044">
        <w:rPr>
          <w:rFonts w:ascii="Times New Roman" w:hAnsi="Times New Roman" w:cs="Times New Roman"/>
          <w:sz w:val="24"/>
          <w:szCs w:val="24"/>
        </w:rPr>
        <w:t>1</w:t>
      </w:r>
      <w:r w:rsidR="00E64960">
        <w:rPr>
          <w:rFonts w:ascii="Times New Roman" w:hAnsi="Times New Roman" w:cs="Times New Roman"/>
          <w:sz w:val="24"/>
          <w:szCs w:val="24"/>
        </w:rPr>
        <w:t>1</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51C95F6A"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w:t>
      </w:r>
      <w:r w:rsidR="00945E6E">
        <w:rPr>
          <w:rFonts w:ascii="Times New Roman" w:hAnsi="Times New Roman" w:cs="Times New Roman"/>
          <w:sz w:val="24"/>
          <w:szCs w:val="24"/>
        </w:rPr>
        <w:t>6</w:t>
      </w:r>
      <w:r w:rsidRPr="008F58D2">
        <w:rPr>
          <w:rFonts w:ascii="Times New Roman" w:hAnsi="Times New Roman" w:cs="Times New Roman"/>
          <w:sz w:val="24"/>
          <w:szCs w:val="24"/>
        </w:rPr>
        <w:t xml:space="preserve"> priedas)</w:t>
      </w:r>
      <w:r w:rsidR="00945E6E">
        <w:rPr>
          <w:rFonts w:ascii="Times New Roman" w:hAnsi="Times New Roman" w:cs="Times New Roman"/>
          <w:sz w:val="24"/>
          <w:szCs w:val="24"/>
        </w:rPr>
        <w:t xml:space="preserve"> ir užpildytas 2 priedas „Techninė specifikacija“</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lastRenderedPageBreak/>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4EC1A3A3"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382333">
        <w:rPr>
          <w:rFonts w:ascii="Times New Roman" w:hAnsi="Times New Roman" w:cs="Times New Roman"/>
          <w:sz w:val="24"/>
          <w:szCs w:val="24"/>
        </w:rPr>
        <w:t xml:space="preserve">8 </w:t>
      </w:r>
      <w:r w:rsidRPr="000B0C52">
        <w:rPr>
          <w:rFonts w:ascii="Times New Roman" w:hAnsi="Times New Roman" w:cs="Times New Roman"/>
          <w:sz w:val="24"/>
          <w:szCs w:val="24"/>
        </w:rPr>
        <w:t>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6FBE69A" w:rsidR="00AA727A" w:rsidRPr="00D273D7" w:rsidRDefault="00D273D7" w:rsidP="0003169B">
            <w:pPr>
              <w:spacing w:after="0" w:line="240" w:lineRule="auto"/>
              <w:rPr>
                <w:rFonts w:ascii="Times New Roman" w:hAnsi="Times New Roman" w:cs="Times New Roman"/>
                <w:iCs/>
                <w:color w:val="00B050"/>
                <w:sz w:val="22"/>
                <w:szCs w:val="22"/>
              </w:rPr>
            </w:pPr>
            <w:r w:rsidRPr="00D273D7">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560F062B" w14:textId="259F7E2B" w:rsidR="00DB25EA" w:rsidRDefault="00007E5A" w:rsidP="00382333">
      <w:pPr>
        <w:ind w:firstLine="1560"/>
      </w:pPr>
      <w:r w:rsidRPr="00007E5A">
        <w:rPr>
          <w:rFonts w:ascii="Times New Roman" w:hAnsi="Times New Roman" w:cs="Times New Roman"/>
          <w:b/>
          <w:bCs/>
          <w:sz w:val="24"/>
          <w:szCs w:val="24"/>
        </w:rPr>
        <w:t xml:space="preserve">TECHNINĖ SPECIFIKACIJA PATEIKTA </w:t>
      </w:r>
      <w:r w:rsidR="00382333" w:rsidRPr="00512B27">
        <w:rPr>
          <w:rFonts w:ascii="Times New Roman" w:hAnsi="Times New Roman" w:cs="Times New Roman"/>
          <w:b/>
          <w:bCs/>
          <w:sz w:val="24"/>
          <w:szCs w:val="24"/>
        </w:rPr>
        <w:t>EX</w:t>
      </w:r>
      <w:r w:rsidR="00382333">
        <w:rPr>
          <w:rFonts w:ascii="Times New Roman" w:hAnsi="Times New Roman" w:cs="Times New Roman"/>
          <w:b/>
          <w:bCs/>
          <w:sz w:val="24"/>
          <w:szCs w:val="24"/>
        </w:rPr>
        <w:t>C</w:t>
      </w:r>
      <w:r w:rsidR="00382333" w:rsidRPr="00512B27">
        <w:rPr>
          <w:rFonts w:ascii="Times New Roman" w:hAnsi="Times New Roman" w:cs="Times New Roman"/>
          <w:b/>
          <w:bCs/>
          <w:sz w:val="24"/>
          <w:szCs w:val="24"/>
        </w:rPr>
        <w:t>EL formatu</w:t>
      </w:r>
      <w:r w:rsidR="00382333">
        <w:rPr>
          <w:rFonts w:ascii="Times New Roman" w:hAnsi="Times New Roman" w:cs="Times New Roman"/>
          <w:b/>
          <w:bCs/>
          <w:sz w:val="24"/>
          <w:szCs w:val="24"/>
        </w:rPr>
        <w:t xml:space="preserve"> atskiru dokumentu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72B805FE" w:rsidR="00A602B2" w:rsidRPr="00512B27" w:rsidRDefault="00A602B2"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Default="00A602B2" w:rsidP="00A602B2"/>
    <w:p w14:paraId="138B394A" w14:textId="77777777" w:rsidR="007A6966" w:rsidRPr="00A602B2" w:rsidRDefault="007A6966"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t>Pirkimo sąlygų 7 priedas „Pasiūlymų vertinimo kriterijai ir sąlygos“</w:t>
      </w:r>
      <w:bookmarkEnd w:id="68"/>
      <w:bookmarkEnd w:id="69"/>
      <w:bookmarkEnd w:id="70"/>
    </w:p>
    <w:p w14:paraId="33414080" w14:textId="2B4C5A37" w:rsidR="00FA78CB" w:rsidRPr="00742A1E" w:rsidRDefault="00FA78CB" w:rsidP="00742A1E">
      <w:pPr>
        <w:pStyle w:val="paragrafesrasas2lygis"/>
        <w:ind w:firstLine="709"/>
        <w:rPr>
          <w:i/>
          <w:iCs/>
          <w:color w:val="EE0000"/>
          <w:sz w:val="24"/>
          <w:szCs w:val="24"/>
        </w:rPr>
      </w:pPr>
    </w:p>
    <w:p w14:paraId="01D7D394" w14:textId="77777777" w:rsidR="00742A1E" w:rsidRPr="00A10380" w:rsidRDefault="00FA78CB" w:rsidP="00742A1E">
      <w:pPr>
        <w:pStyle w:val="Paantrat"/>
        <w:jc w:val="center"/>
        <w:rPr>
          <w:rFonts w:ascii="Times New Roman" w:hAnsi="Times New Roman" w:cs="Times New Roman"/>
          <w:b/>
          <w:bCs/>
          <w:smallCaps/>
          <w:color w:val="000000" w:themeColor="text1"/>
          <w:sz w:val="22"/>
          <w:szCs w:val="22"/>
        </w:rPr>
      </w:pPr>
      <w:r w:rsidRPr="00D51822">
        <w:rPr>
          <w:color w:val="7030A0"/>
          <w:sz w:val="24"/>
          <w:szCs w:val="24"/>
        </w:rPr>
        <w:t xml:space="preserve"> </w:t>
      </w:r>
      <w:r w:rsidR="00742A1E" w:rsidRPr="00A10380">
        <w:rPr>
          <w:rFonts w:ascii="Times New Roman" w:hAnsi="Times New Roman" w:cs="Times New Roman"/>
          <w:b/>
          <w:bCs/>
          <w:color w:val="000000" w:themeColor="text1"/>
          <w:sz w:val="22"/>
          <w:szCs w:val="22"/>
        </w:rPr>
        <w:t>PASIŪLYMŲ VERTINIMO KRITERIJAI ir Sąlygos</w:t>
      </w:r>
    </w:p>
    <w:p w14:paraId="027D41D7" w14:textId="77777777" w:rsidR="00742A1E" w:rsidRPr="00742A1E" w:rsidRDefault="00742A1E" w:rsidP="00742A1E">
      <w:pPr>
        <w:suppressAutoHyphens/>
        <w:spacing w:after="0" w:line="240" w:lineRule="auto"/>
        <w:ind w:firstLine="567"/>
        <w:jc w:val="both"/>
        <w:rPr>
          <w:rFonts w:ascii="Times New Roman" w:eastAsia="Arial Unicode MS" w:hAnsi="Times New Roman" w:cs="Times New Roman"/>
          <w:sz w:val="22"/>
          <w:szCs w:val="22"/>
          <w:lang w:eastAsia="en-US"/>
        </w:rPr>
      </w:pPr>
      <w:bookmarkStart w:id="74" w:name="_Hlk200574770"/>
      <w:r w:rsidRPr="00742A1E">
        <w:rPr>
          <w:rFonts w:ascii="Times New Roman" w:eastAsia="Arial Unicode MS" w:hAnsi="Times New Roman" w:cs="Times New Roman"/>
          <w:sz w:val="22"/>
          <w:szCs w:val="22"/>
          <w:lang w:eastAsia="en-US"/>
        </w:rPr>
        <w:t>1. Perkančiosios organizacijos neatmesti pasiūlymai vertinami pagal kainos ir kokybės santykį (pasiūlymo techninės charakteristikos vertinamos kiekybiškai) šiame priede nurodyta tvarka.</w:t>
      </w:r>
    </w:p>
    <w:p w14:paraId="1A538F07" w14:textId="77777777" w:rsidR="00742A1E" w:rsidRPr="00742A1E" w:rsidRDefault="00742A1E" w:rsidP="00742A1E">
      <w:pPr>
        <w:suppressAutoHyphens/>
        <w:spacing w:after="0" w:line="240" w:lineRule="auto"/>
        <w:ind w:firstLine="567"/>
        <w:jc w:val="both"/>
        <w:rPr>
          <w:rFonts w:ascii="Times New Roman" w:eastAsia="Arial Unicode MS" w:hAnsi="Times New Roman" w:cs="Times New Roman"/>
          <w:sz w:val="22"/>
          <w:szCs w:val="22"/>
          <w:lang w:eastAsia="en-US"/>
        </w:rPr>
      </w:pPr>
      <w:r w:rsidRPr="00742A1E">
        <w:rPr>
          <w:rFonts w:ascii="Times New Roman" w:eastAsia="Arial Unicode MS" w:hAnsi="Times New Roman" w:cs="Times New Roman"/>
          <w:sz w:val="22"/>
          <w:szCs w:val="22"/>
          <w:lang w:eastAsia="en-US"/>
        </w:rPr>
        <w:t>2.  Ekonomiškai naudingiausias pasiūlymas – tai pasiūlymas, kurio balų suma, apskaičiuota pagal toliau nustatytus pasiūlymų̨ vertinimo kriterijus ir sąlygas, yra didžiausia.</w:t>
      </w:r>
    </w:p>
    <w:tbl>
      <w:tblPr>
        <w:tblW w:w="10120" w:type="dxa"/>
        <w:tblInd w:w="-431" w:type="dxa"/>
        <w:tblLook w:val="04A0" w:firstRow="1" w:lastRow="0" w:firstColumn="1" w:lastColumn="0" w:noHBand="0" w:noVBand="1"/>
      </w:tblPr>
      <w:tblGrid>
        <w:gridCol w:w="1054"/>
        <w:gridCol w:w="5948"/>
        <w:gridCol w:w="1646"/>
        <w:gridCol w:w="1472"/>
      </w:tblGrid>
      <w:tr w:rsidR="00742A1E" w:rsidRPr="00742A1E" w14:paraId="08141983" w14:textId="77777777" w:rsidTr="00320BCC">
        <w:trPr>
          <w:trHeight w:val="855"/>
        </w:trPr>
        <w:tc>
          <w:tcPr>
            <w:tcW w:w="7002" w:type="dxa"/>
            <w:gridSpan w:val="2"/>
            <w:tcBorders>
              <w:top w:val="single" w:sz="4" w:space="0" w:color="auto"/>
              <w:left w:val="single" w:sz="4" w:space="0" w:color="auto"/>
              <w:bottom w:val="single" w:sz="4" w:space="0" w:color="auto"/>
              <w:right w:val="single" w:sz="4" w:space="0" w:color="auto"/>
            </w:tcBorders>
            <w:noWrap/>
            <w:vAlign w:val="center"/>
            <w:hideMark/>
          </w:tcPr>
          <w:p w14:paraId="09137477"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Vertinimo kriterijai ir parametrai</w:t>
            </w:r>
          </w:p>
        </w:tc>
        <w:tc>
          <w:tcPr>
            <w:tcW w:w="3118" w:type="dxa"/>
            <w:gridSpan w:val="2"/>
            <w:tcBorders>
              <w:top w:val="single" w:sz="4" w:space="0" w:color="auto"/>
              <w:left w:val="nil"/>
              <w:bottom w:val="single" w:sz="4" w:space="0" w:color="auto"/>
              <w:right w:val="single" w:sz="4" w:space="0" w:color="auto"/>
            </w:tcBorders>
            <w:vAlign w:val="center"/>
            <w:hideMark/>
          </w:tcPr>
          <w:p w14:paraId="4A67B83F"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Kriterijaus lyginamasis svoris ekonominio naudingumo įvertinime</w:t>
            </w:r>
          </w:p>
        </w:tc>
      </w:tr>
      <w:tr w:rsidR="00742A1E" w:rsidRPr="00742A1E" w14:paraId="7B56B04A" w14:textId="77777777" w:rsidTr="00320BCC">
        <w:trPr>
          <w:trHeight w:val="253"/>
        </w:trPr>
        <w:tc>
          <w:tcPr>
            <w:tcW w:w="7002" w:type="dxa"/>
            <w:gridSpan w:val="2"/>
            <w:tcBorders>
              <w:top w:val="nil"/>
              <w:left w:val="single" w:sz="4" w:space="0" w:color="auto"/>
              <w:bottom w:val="single" w:sz="4" w:space="0" w:color="auto"/>
              <w:right w:val="single" w:sz="4" w:space="0" w:color="auto"/>
            </w:tcBorders>
            <w:noWrap/>
            <w:hideMark/>
          </w:tcPr>
          <w:p w14:paraId="06237B27" w14:textId="77777777" w:rsidR="00742A1E" w:rsidRPr="00742A1E" w:rsidRDefault="00742A1E" w:rsidP="00742A1E">
            <w:pPr>
              <w:spacing w:after="0" w:line="240" w:lineRule="auto"/>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 xml:space="preserve">Pasiūlymo kaina (K) sudarys </w:t>
            </w:r>
          </w:p>
        </w:tc>
        <w:tc>
          <w:tcPr>
            <w:tcW w:w="3118" w:type="dxa"/>
            <w:gridSpan w:val="2"/>
            <w:tcBorders>
              <w:top w:val="single" w:sz="4" w:space="0" w:color="auto"/>
              <w:bottom w:val="single" w:sz="4" w:space="0" w:color="auto"/>
              <w:right w:val="single" w:sz="4" w:space="0" w:color="auto"/>
            </w:tcBorders>
            <w:noWrap/>
            <w:vAlign w:val="center"/>
            <w:hideMark/>
          </w:tcPr>
          <w:p w14:paraId="1A38425D" w14:textId="77777777" w:rsidR="00742A1E" w:rsidRPr="00742A1E" w:rsidRDefault="00742A1E" w:rsidP="00742A1E">
            <w:pPr>
              <w:spacing w:after="0" w:line="240" w:lineRule="auto"/>
              <w:jc w:val="center"/>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 xml:space="preserve">X=70 </w:t>
            </w:r>
          </w:p>
        </w:tc>
      </w:tr>
      <w:tr w:rsidR="00742A1E" w:rsidRPr="00742A1E" w14:paraId="71AB3969" w14:textId="77777777" w:rsidTr="00320BCC">
        <w:trPr>
          <w:trHeight w:val="303"/>
        </w:trPr>
        <w:tc>
          <w:tcPr>
            <w:tcW w:w="7002" w:type="dxa"/>
            <w:gridSpan w:val="2"/>
            <w:tcBorders>
              <w:top w:val="nil"/>
              <w:left w:val="single" w:sz="4" w:space="0" w:color="auto"/>
              <w:bottom w:val="single" w:sz="4" w:space="0" w:color="auto"/>
              <w:right w:val="single" w:sz="4" w:space="0" w:color="auto"/>
            </w:tcBorders>
            <w:noWrap/>
            <w:hideMark/>
          </w:tcPr>
          <w:p w14:paraId="47B6042A" w14:textId="77777777" w:rsidR="00742A1E" w:rsidRPr="00742A1E" w:rsidRDefault="00742A1E" w:rsidP="00742A1E">
            <w:pPr>
              <w:spacing w:after="0" w:line="240" w:lineRule="auto"/>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 xml:space="preserve">Kokybės kriterijai (T) sudarys </w:t>
            </w:r>
          </w:p>
        </w:tc>
        <w:tc>
          <w:tcPr>
            <w:tcW w:w="3118" w:type="dxa"/>
            <w:gridSpan w:val="2"/>
            <w:tcBorders>
              <w:top w:val="single" w:sz="4" w:space="0" w:color="auto"/>
              <w:bottom w:val="single" w:sz="4" w:space="0" w:color="auto"/>
              <w:right w:val="single" w:sz="4" w:space="0" w:color="auto"/>
            </w:tcBorders>
            <w:noWrap/>
            <w:vAlign w:val="center"/>
            <w:hideMark/>
          </w:tcPr>
          <w:p w14:paraId="2CCA8DB6" w14:textId="77777777" w:rsidR="00742A1E" w:rsidRPr="00742A1E" w:rsidRDefault="00742A1E" w:rsidP="00742A1E">
            <w:pPr>
              <w:spacing w:after="0" w:line="240" w:lineRule="auto"/>
              <w:jc w:val="center"/>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 xml:space="preserve">30  </w:t>
            </w:r>
          </w:p>
        </w:tc>
      </w:tr>
      <w:tr w:rsidR="00742A1E" w:rsidRPr="00742A1E" w14:paraId="76E6BD42" w14:textId="77777777" w:rsidTr="00320BCC">
        <w:trPr>
          <w:trHeight w:val="300"/>
        </w:trPr>
        <w:tc>
          <w:tcPr>
            <w:tcW w:w="1054" w:type="dxa"/>
            <w:tcBorders>
              <w:top w:val="nil"/>
              <w:left w:val="single" w:sz="4" w:space="0" w:color="auto"/>
              <w:bottom w:val="single" w:sz="4" w:space="0" w:color="auto"/>
              <w:right w:val="single" w:sz="4" w:space="0" w:color="auto"/>
            </w:tcBorders>
            <w:noWrap/>
            <w:hideMark/>
          </w:tcPr>
          <w:p w14:paraId="50C6571F" w14:textId="77777777" w:rsidR="00742A1E" w:rsidRPr="00742A1E" w:rsidRDefault="00742A1E" w:rsidP="00742A1E">
            <w:pPr>
              <w:spacing w:after="0" w:line="240" w:lineRule="auto"/>
              <w:jc w:val="center"/>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 Kokybės kriterijai</w:t>
            </w:r>
          </w:p>
        </w:tc>
        <w:tc>
          <w:tcPr>
            <w:tcW w:w="5948" w:type="dxa"/>
            <w:tcBorders>
              <w:top w:val="nil"/>
              <w:left w:val="nil"/>
              <w:bottom w:val="single" w:sz="4" w:space="0" w:color="auto"/>
              <w:right w:val="single" w:sz="4" w:space="0" w:color="auto"/>
            </w:tcBorders>
            <w:noWrap/>
            <w:vAlign w:val="center"/>
            <w:hideMark/>
          </w:tcPr>
          <w:p w14:paraId="64092257" w14:textId="77777777" w:rsidR="00742A1E" w:rsidRPr="00742A1E" w:rsidRDefault="00742A1E" w:rsidP="00742A1E">
            <w:pPr>
              <w:spacing w:after="0" w:line="240" w:lineRule="auto"/>
              <w:jc w:val="center"/>
              <w:rPr>
                <w:rFonts w:ascii="Times New Roman" w:eastAsia="Times New Roman" w:hAnsi="Times New Roman" w:cs="Times New Roman"/>
                <w:color w:val="000000"/>
                <w:sz w:val="22"/>
                <w:szCs w:val="22"/>
              </w:rPr>
            </w:pPr>
            <w:r w:rsidRPr="00742A1E">
              <w:rPr>
                <w:rFonts w:ascii="Times New Roman" w:eastAsia="Times New Roman" w:hAnsi="Times New Roman" w:cs="Times New Roman"/>
                <w:b/>
                <w:bCs/>
                <w:color w:val="000000"/>
                <w:sz w:val="20"/>
                <w:szCs w:val="20"/>
              </w:rPr>
              <w:t>Reikalaujama techninio parametro reikšmė</w:t>
            </w:r>
          </w:p>
        </w:tc>
        <w:tc>
          <w:tcPr>
            <w:tcW w:w="3118" w:type="dxa"/>
            <w:gridSpan w:val="2"/>
            <w:tcBorders>
              <w:top w:val="single" w:sz="4" w:space="0" w:color="auto"/>
              <w:left w:val="nil"/>
              <w:bottom w:val="single" w:sz="4" w:space="0" w:color="auto"/>
              <w:right w:val="single" w:sz="4" w:space="0" w:color="auto"/>
            </w:tcBorders>
            <w:noWrap/>
            <w:vAlign w:val="center"/>
            <w:hideMark/>
          </w:tcPr>
          <w:p w14:paraId="4D775AE4" w14:textId="77777777" w:rsidR="00742A1E" w:rsidRPr="00742A1E" w:rsidRDefault="00742A1E" w:rsidP="00742A1E">
            <w:pPr>
              <w:spacing w:after="0" w:line="240" w:lineRule="auto"/>
              <w:jc w:val="center"/>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Skiriami balai (L)</w:t>
            </w:r>
          </w:p>
        </w:tc>
      </w:tr>
      <w:tr w:rsidR="00742A1E" w:rsidRPr="00742A1E" w14:paraId="5C12457C" w14:textId="77777777" w:rsidTr="00320BCC">
        <w:trPr>
          <w:trHeight w:val="245"/>
        </w:trPr>
        <w:tc>
          <w:tcPr>
            <w:tcW w:w="1054" w:type="dxa"/>
            <w:vMerge w:val="restart"/>
            <w:tcBorders>
              <w:top w:val="single" w:sz="4" w:space="0" w:color="auto"/>
              <w:left w:val="single" w:sz="4" w:space="0" w:color="auto"/>
              <w:right w:val="single" w:sz="4" w:space="0" w:color="auto"/>
            </w:tcBorders>
            <w:noWrap/>
          </w:tcPr>
          <w:p w14:paraId="0CF7846A" w14:textId="77777777" w:rsidR="00742A1E" w:rsidRPr="00742A1E" w:rsidRDefault="00742A1E" w:rsidP="00742A1E">
            <w:pPr>
              <w:spacing w:after="0" w:line="240" w:lineRule="auto"/>
              <w:jc w:val="center"/>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T</w:t>
            </w:r>
            <w:r w:rsidRPr="00742A1E">
              <w:rPr>
                <w:rFonts w:ascii="Times New Roman" w:eastAsia="Times New Roman" w:hAnsi="Times New Roman" w:cs="Times New Roman"/>
                <w:color w:val="000000"/>
                <w:sz w:val="22"/>
                <w:szCs w:val="22"/>
                <w:vertAlign w:val="subscript"/>
              </w:rPr>
              <w:t>1</w:t>
            </w:r>
          </w:p>
        </w:tc>
        <w:tc>
          <w:tcPr>
            <w:tcW w:w="5948" w:type="dxa"/>
            <w:vMerge w:val="restart"/>
            <w:tcBorders>
              <w:top w:val="nil"/>
              <w:left w:val="single" w:sz="4" w:space="0" w:color="auto"/>
              <w:right w:val="single" w:sz="4" w:space="0" w:color="auto"/>
            </w:tcBorders>
          </w:tcPr>
          <w:p w14:paraId="0E9F9EAB" w14:textId="77777777" w:rsidR="00742A1E" w:rsidRPr="00742A1E" w:rsidRDefault="00742A1E" w:rsidP="00742A1E">
            <w:pPr>
              <w:spacing w:after="0" w:line="240" w:lineRule="auto"/>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 xml:space="preserve">Vienam tyrimui  - viena matavimo kasetė,  su apsauga nuo klaidų (automatinė kraujo mėginio, elektroninė sistemos, reagento kontrolė), turi būti nejautri </w:t>
            </w:r>
            <w:proofErr w:type="spellStart"/>
            <w:r w:rsidRPr="00742A1E">
              <w:rPr>
                <w:rFonts w:ascii="Times New Roman" w:eastAsia="Times New Roman" w:hAnsi="Times New Roman" w:cs="Times New Roman"/>
                <w:color w:val="000000"/>
                <w:sz w:val="22"/>
                <w:szCs w:val="22"/>
              </w:rPr>
              <w:t>trombocitopenijai</w:t>
            </w:r>
            <w:proofErr w:type="spellEnd"/>
            <w:r w:rsidRPr="00742A1E">
              <w:rPr>
                <w:rFonts w:ascii="Times New Roman" w:eastAsia="Times New Roman" w:hAnsi="Times New Roman" w:cs="Times New Roman"/>
                <w:color w:val="000000"/>
                <w:sz w:val="22"/>
                <w:szCs w:val="22"/>
              </w:rPr>
              <w:t xml:space="preserve"> ir kitiems trikdžiams</w:t>
            </w:r>
          </w:p>
        </w:tc>
        <w:tc>
          <w:tcPr>
            <w:tcW w:w="1646" w:type="dxa"/>
            <w:tcBorders>
              <w:top w:val="nil"/>
              <w:left w:val="nil"/>
              <w:bottom w:val="single" w:sz="4" w:space="0" w:color="auto"/>
              <w:right w:val="single" w:sz="4" w:space="0" w:color="auto"/>
            </w:tcBorders>
            <w:noWrap/>
            <w:vAlign w:val="center"/>
          </w:tcPr>
          <w:p w14:paraId="1C96B687"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Ne</w:t>
            </w:r>
          </w:p>
        </w:tc>
        <w:tc>
          <w:tcPr>
            <w:tcW w:w="1472" w:type="dxa"/>
            <w:tcBorders>
              <w:top w:val="nil"/>
              <w:left w:val="nil"/>
              <w:bottom w:val="single" w:sz="4" w:space="0" w:color="auto"/>
              <w:right w:val="single" w:sz="4" w:space="0" w:color="auto"/>
            </w:tcBorders>
          </w:tcPr>
          <w:p w14:paraId="5CE5198E"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Taip</w:t>
            </w:r>
          </w:p>
        </w:tc>
      </w:tr>
      <w:tr w:rsidR="00742A1E" w:rsidRPr="00742A1E" w14:paraId="7D90EC1B" w14:textId="77777777" w:rsidTr="00320BCC">
        <w:trPr>
          <w:trHeight w:val="546"/>
        </w:trPr>
        <w:tc>
          <w:tcPr>
            <w:tcW w:w="1054" w:type="dxa"/>
            <w:vMerge/>
            <w:tcBorders>
              <w:left w:val="single" w:sz="4" w:space="0" w:color="auto"/>
              <w:bottom w:val="single" w:sz="4" w:space="0" w:color="auto"/>
              <w:right w:val="single" w:sz="4" w:space="0" w:color="auto"/>
            </w:tcBorders>
            <w:noWrap/>
            <w:hideMark/>
          </w:tcPr>
          <w:p w14:paraId="44008B46" w14:textId="77777777" w:rsidR="00742A1E" w:rsidRPr="00742A1E" w:rsidRDefault="00742A1E" w:rsidP="00742A1E">
            <w:pPr>
              <w:spacing w:after="0" w:line="240" w:lineRule="auto"/>
              <w:jc w:val="center"/>
              <w:rPr>
                <w:rFonts w:ascii="Times New Roman" w:eastAsia="Times New Roman" w:hAnsi="Times New Roman" w:cs="Times New Roman"/>
                <w:color w:val="000000"/>
                <w:sz w:val="22"/>
                <w:szCs w:val="22"/>
              </w:rPr>
            </w:pPr>
          </w:p>
        </w:tc>
        <w:tc>
          <w:tcPr>
            <w:tcW w:w="5948" w:type="dxa"/>
            <w:vMerge/>
            <w:tcBorders>
              <w:left w:val="single" w:sz="4" w:space="0" w:color="auto"/>
              <w:bottom w:val="single" w:sz="4" w:space="0" w:color="auto"/>
              <w:right w:val="single" w:sz="4" w:space="0" w:color="auto"/>
            </w:tcBorders>
            <w:hideMark/>
          </w:tcPr>
          <w:p w14:paraId="63EBE57A" w14:textId="77777777" w:rsidR="00742A1E" w:rsidRPr="00742A1E" w:rsidRDefault="00742A1E" w:rsidP="00742A1E">
            <w:pPr>
              <w:spacing w:after="0" w:line="240" w:lineRule="auto"/>
              <w:rPr>
                <w:rFonts w:ascii="Times New Roman" w:eastAsia="Times New Roman" w:hAnsi="Times New Roman" w:cs="Times New Roman"/>
                <w:color w:val="000000"/>
                <w:sz w:val="22"/>
                <w:szCs w:val="22"/>
              </w:rPr>
            </w:pPr>
          </w:p>
        </w:tc>
        <w:tc>
          <w:tcPr>
            <w:tcW w:w="1646" w:type="dxa"/>
            <w:tcBorders>
              <w:top w:val="nil"/>
              <w:left w:val="nil"/>
              <w:bottom w:val="single" w:sz="4" w:space="0" w:color="auto"/>
              <w:right w:val="single" w:sz="4" w:space="0" w:color="auto"/>
            </w:tcBorders>
            <w:noWrap/>
            <w:vAlign w:val="center"/>
            <w:hideMark/>
          </w:tcPr>
          <w:p w14:paraId="6BCF6C7C"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0</w:t>
            </w:r>
          </w:p>
        </w:tc>
        <w:tc>
          <w:tcPr>
            <w:tcW w:w="1472" w:type="dxa"/>
            <w:tcBorders>
              <w:top w:val="nil"/>
              <w:left w:val="nil"/>
              <w:bottom w:val="single" w:sz="4" w:space="0" w:color="auto"/>
              <w:right w:val="single" w:sz="4" w:space="0" w:color="auto"/>
            </w:tcBorders>
            <w:vAlign w:val="center"/>
          </w:tcPr>
          <w:p w14:paraId="0F81B1DC"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15</w:t>
            </w:r>
          </w:p>
        </w:tc>
      </w:tr>
      <w:tr w:rsidR="00742A1E" w:rsidRPr="00742A1E" w14:paraId="73669741" w14:textId="77777777" w:rsidTr="00320BCC">
        <w:trPr>
          <w:trHeight w:val="285"/>
        </w:trPr>
        <w:tc>
          <w:tcPr>
            <w:tcW w:w="1054" w:type="dxa"/>
            <w:vMerge w:val="restart"/>
            <w:tcBorders>
              <w:top w:val="single" w:sz="4" w:space="0" w:color="auto"/>
              <w:left w:val="single" w:sz="4" w:space="0" w:color="auto"/>
              <w:right w:val="single" w:sz="4" w:space="0" w:color="auto"/>
            </w:tcBorders>
            <w:noWrap/>
          </w:tcPr>
          <w:p w14:paraId="3BBEC7F0" w14:textId="77777777" w:rsidR="00742A1E" w:rsidRPr="00742A1E" w:rsidRDefault="00742A1E" w:rsidP="00742A1E">
            <w:pPr>
              <w:spacing w:after="0" w:line="240" w:lineRule="auto"/>
              <w:jc w:val="center"/>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T</w:t>
            </w:r>
            <w:r w:rsidRPr="00742A1E">
              <w:rPr>
                <w:rFonts w:ascii="Times New Roman" w:eastAsia="Times New Roman" w:hAnsi="Times New Roman" w:cs="Times New Roman"/>
                <w:color w:val="000000"/>
                <w:sz w:val="22"/>
                <w:szCs w:val="22"/>
                <w:vertAlign w:val="subscript"/>
              </w:rPr>
              <w:t>2</w:t>
            </w:r>
          </w:p>
        </w:tc>
        <w:tc>
          <w:tcPr>
            <w:tcW w:w="5948" w:type="dxa"/>
            <w:vMerge w:val="restart"/>
            <w:tcBorders>
              <w:top w:val="nil"/>
              <w:left w:val="single" w:sz="4" w:space="0" w:color="auto"/>
              <w:right w:val="single" w:sz="4" w:space="0" w:color="auto"/>
            </w:tcBorders>
            <w:vAlign w:val="bottom"/>
          </w:tcPr>
          <w:p w14:paraId="21090D0B" w14:textId="77777777" w:rsidR="00742A1E" w:rsidRPr="00742A1E" w:rsidRDefault="00742A1E" w:rsidP="00742A1E">
            <w:pPr>
              <w:spacing w:after="0" w:line="240" w:lineRule="auto"/>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 xml:space="preserve">Tyrimo </w:t>
            </w:r>
            <w:proofErr w:type="spellStart"/>
            <w:r w:rsidRPr="00742A1E">
              <w:rPr>
                <w:rFonts w:ascii="Times New Roman" w:eastAsia="Times New Roman" w:hAnsi="Times New Roman" w:cs="Times New Roman"/>
                <w:color w:val="000000"/>
                <w:sz w:val="22"/>
                <w:szCs w:val="22"/>
              </w:rPr>
              <w:t>kalibracija</w:t>
            </w:r>
            <w:proofErr w:type="spellEnd"/>
            <w:r w:rsidRPr="00742A1E">
              <w:rPr>
                <w:rFonts w:ascii="Times New Roman" w:eastAsia="Times New Roman" w:hAnsi="Times New Roman" w:cs="Times New Roman"/>
                <w:color w:val="000000"/>
                <w:sz w:val="22"/>
                <w:szCs w:val="22"/>
              </w:rPr>
              <w:t xml:space="preserve"> - atlikta gamintojo, kalibravimo informacija pateikiama brūkšniniame kode su kiekviena tyrimo kasečių partija</w:t>
            </w:r>
          </w:p>
        </w:tc>
        <w:tc>
          <w:tcPr>
            <w:tcW w:w="1646" w:type="dxa"/>
            <w:tcBorders>
              <w:top w:val="nil"/>
              <w:left w:val="nil"/>
              <w:bottom w:val="single" w:sz="4" w:space="0" w:color="auto"/>
              <w:right w:val="single" w:sz="4" w:space="0" w:color="auto"/>
            </w:tcBorders>
            <w:noWrap/>
            <w:vAlign w:val="center"/>
          </w:tcPr>
          <w:p w14:paraId="73462414"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Taip</w:t>
            </w:r>
          </w:p>
        </w:tc>
        <w:tc>
          <w:tcPr>
            <w:tcW w:w="1472" w:type="dxa"/>
            <w:tcBorders>
              <w:top w:val="nil"/>
              <w:left w:val="nil"/>
              <w:bottom w:val="single" w:sz="4" w:space="0" w:color="auto"/>
              <w:right w:val="single" w:sz="4" w:space="0" w:color="auto"/>
            </w:tcBorders>
          </w:tcPr>
          <w:p w14:paraId="64E2FF3C"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Ne</w:t>
            </w:r>
          </w:p>
        </w:tc>
      </w:tr>
      <w:tr w:rsidR="00742A1E" w:rsidRPr="00742A1E" w14:paraId="3BAD082B" w14:textId="77777777" w:rsidTr="00320BCC">
        <w:trPr>
          <w:trHeight w:val="285"/>
        </w:trPr>
        <w:tc>
          <w:tcPr>
            <w:tcW w:w="1054" w:type="dxa"/>
            <w:vMerge/>
            <w:tcBorders>
              <w:left w:val="single" w:sz="4" w:space="0" w:color="auto"/>
              <w:bottom w:val="single" w:sz="4" w:space="0" w:color="auto"/>
              <w:right w:val="single" w:sz="4" w:space="0" w:color="auto"/>
            </w:tcBorders>
            <w:noWrap/>
            <w:hideMark/>
          </w:tcPr>
          <w:p w14:paraId="41C59F7C" w14:textId="77777777" w:rsidR="00742A1E" w:rsidRPr="00742A1E" w:rsidRDefault="00742A1E" w:rsidP="00742A1E">
            <w:pPr>
              <w:spacing w:after="0" w:line="240" w:lineRule="auto"/>
              <w:jc w:val="center"/>
              <w:rPr>
                <w:rFonts w:ascii="Times New Roman" w:eastAsia="Times New Roman" w:hAnsi="Times New Roman" w:cs="Times New Roman"/>
                <w:color w:val="000000"/>
                <w:sz w:val="22"/>
                <w:szCs w:val="22"/>
              </w:rPr>
            </w:pPr>
          </w:p>
        </w:tc>
        <w:tc>
          <w:tcPr>
            <w:tcW w:w="5948" w:type="dxa"/>
            <w:vMerge/>
            <w:tcBorders>
              <w:left w:val="single" w:sz="4" w:space="0" w:color="auto"/>
              <w:bottom w:val="single" w:sz="4" w:space="0" w:color="auto"/>
              <w:right w:val="single" w:sz="4" w:space="0" w:color="auto"/>
            </w:tcBorders>
            <w:vAlign w:val="bottom"/>
            <w:hideMark/>
          </w:tcPr>
          <w:p w14:paraId="55843016" w14:textId="77777777" w:rsidR="00742A1E" w:rsidRPr="00742A1E" w:rsidRDefault="00742A1E" w:rsidP="00742A1E">
            <w:pPr>
              <w:spacing w:after="0" w:line="240" w:lineRule="auto"/>
              <w:rPr>
                <w:rFonts w:ascii="Times New Roman" w:eastAsia="Times New Roman" w:hAnsi="Times New Roman" w:cs="Times New Roman"/>
                <w:color w:val="000000"/>
                <w:sz w:val="22"/>
                <w:szCs w:val="22"/>
              </w:rPr>
            </w:pPr>
          </w:p>
        </w:tc>
        <w:tc>
          <w:tcPr>
            <w:tcW w:w="1646" w:type="dxa"/>
            <w:tcBorders>
              <w:top w:val="nil"/>
              <w:left w:val="nil"/>
              <w:bottom w:val="single" w:sz="4" w:space="0" w:color="auto"/>
              <w:right w:val="single" w:sz="4" w:space="0" w:color="auto"/>
            </w:tcBorders>
            <w:noWrap/>
            <w:vAlign w:val="center"/>
            <w:hideMark/>
          </w:tcPr>
          <w:p w14:paraId="4B35A63D"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0</w:t>
            </w:r>
          </w:p>
        </w:tc>
        <w:tc>
          <w:tcPr>
            <w:tcW w:w="1472" w:type="dxa"/>
            <w:tcBorders>
              <w:top w:val="nil"/>
              <w:left w:val="nil"/>
              <w:bottom w:val="single" w:sz="4" w:space="0" w:color="auto"/>
              <w:right w:val="single" w:sz="4" w:space="0" w:color="auto"/>
            </w:tcBorders>
            <w:vAlign w:val="center"/>
          </w:tcPr>
          <w:p w14:paraId="643761BA"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5</w:t>
            </w:r>
          </w:p>
        </w:tc>
      </w:tr>
      <w:tr w:rsidR="00742A1E" w:rsidRPr="00742A1E" w14:paraId="2907F4D2" w14:textId="77777777" w:rsidTr="00320BCC">
        <w:trPr>
          <w:trHeight w:val="301"/>
        </w:trPr>
        <w:tc>
          <w:tcPr>
            <w:tcW w:w="1054" w:type="dxa"/>
            <w:vMerge w:val="restart"/>
            <w:tcBorders>
              <w:top w:val="single" w:sz="4" w:space="0" w:color="auto"/>
              <w:left w:val="single" w:sz="4" w:space="0" w:color="auto"/>
              <w:right w:val="single" w:sz="4" w:space="0" w:color="auto"/>
            </w:tcBorders>
            <w:noWrap/>
          </w:tcPr>
          <w:p w14:paraId="781F2D2A" w14:textId="77777777" w:rsidR="00742A1E" w:rsidRPr="00742A1E" w:rsidRDefault="00742A1E" w:rsidP="00742A1E">
            <w:pPr>
              <w:spacing w:after="0" w:line="240" w:lineRule="auto"/>
              <w:jc w:val="center"/>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T</w:t>
            </w:r>
            <w:r w:rsidRPr="00742A1E">
              <w:rPr>
                <w:rFonts w:ascii="Times New Roman" w:eastAsia="Times New Roman" w:hAnsi="Times New Roman" w:cs="Times New Roman"/>
                <w:color w:val="000000"/>
                <w:sz w:val="22"/>
                <w:szCs w:val="22"/>
                <w:vertAlign w:val="subscript"/>
              </w:rPr>
              <w:t>3</w:t>
            </w:r>
          </w:p>
        </w:tc>
        <w:tc>
          <w:tcPr>
            <w:tcW w:w="5948" w:type="dxa"/>
            <w:vMerge w:val="restart"/>
            <w:tcBorders>
              <w:top w:val="nil"/>
              <w:left w:val="single" w:sz="4" w:space="0" w:color="auto"/>
              <w:right w:val="single" w:sz="4" w:space="0" w:color="auto"/>
            </w:tcBorders>
            <w:vAlign w:val="bottom"/>
          </w:tcPr>
          <w:p w14:paraId="5F149267" w14:textId="77777777" w:rsidR="00742A1E" w:rsidRPr="00742A1E" w:rsidRDefault="00742A1E" w:rsidP="00742A1E">
            <w:pPr>
              <w:spacing w:after="0" w:line="240" w:lineRule="auto"/>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 xml:space="preserve">Mėginiai turi būti tiriami tiesiai iš mėgintuvėlio, be papildomų mėginio paruošimo ar reagentų </w:t>
            </w:r>
            <w:proofErr w:type="spellStart"/>
            <w:r w:rsidRPr="00742A1E">
              <w:rPr>
                <w:rFonts w:ascii="Times New Roman" w:eastAsia="Times New Roman" w:hAnsi="Times New Roman" w:cs="Times New Roman"/>
                <w:color w:val="000000"/>
                <w:sz w:val="22"/>
                <w:szCs w:val="22"/>
              </w:rPr>
              <w:t>pipetavimo</w:t>
            </w:r>
            <w:proofErr w:type="spellEnd"/>
            <w:r w:rsidRPr="00742A1E">
              <w:rPr>
                <w:rFonts w:ascii="Times New Roman" w:eastAsia="Times New Roman" w:hAnsi="Times New Roman" w:cs="Times New Roman"/>
                <w:color w:val="000000"/>
                <w:sz w:val="22"/>
                <w:szCs w:val="22"/>
              </w:rPr>
              <w:t xml:space="preserve"> procedūrų</w:t>
            </w:r>
          </w:p>
        </w:tc>
        <w:tc>
          <w:tcPr>
            <w:tcW w:w="1646" w:type="dxa"/>
            <w:tcBorders>
              <w:top w:val="nil"/>
              <w:left w:val="nil"/>
              <w:bottom w:val="single" w:sz="4" w:space="0" w:color="auto"/>
              <w:right w:val="single" w:sz="4" w:space="0" w:color="auto"/>
            </w:tcBorders>
            <w:noWrap/>
            <w:vAlign w:val="center"/>
          </w:tcPr>
          <w:p w14:paraId="334153DC"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Taip</w:t>
            </w:r>
          </w:p>
        </w:tc>
        <w:tc>
          <w:tcPr>
            <w:tcW w:w="1472" w:type="dxa"/>
            <w:tcBorders>
              <w:top w:val="nil"/>
              <w:left w:val="nil"/>
              <w:bottom w:val="single" w:sz="4" w:space="0" w:color="auto"/>
              <w:right w:val="single" w:sz="4" w:space="0" w:color="auto"/>
            </w:tcBorders>
          </w:tcPr>
          <w:p w14:paraId="6C3ADB9D"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Ne</w:t>
            </w:r>
          </w:p>
        </w:tc>
      </w:tr>
      <w:tr w:rsidR="00742A1E" w:rsidRPr="00742A1E" w14:paraId="491B9E93" w14:textId="77777777" w:rsidTr="00320BCC">
        <w:trPr>
          <w:trHeight w:val="95"/>
        </w:trPr>
        <w:tc>
          <w:tcPr>
            <w:tcW w:w="1054" w:type="dxa"/>
            <w:vMerge/>
            <w:tcBorders>
              <w:left w:val="single" w:sz="4" w:space="0" w:color="auto"/>
              <w:bottom w:val="single" w:sz="4" w:space="0" w:color="auto"/>
              <w:right w:val="single" w:sz="4" w:space="0" w:color="auto"/>
            </w:tcBorders>
            <w:noWrap/>
            <w:hideMark/>
          </w:tcPr>
          <w:p w14:paraId="3147ED96" w14:textId="77777777" w:rsidR="00742A1E" w:rsidRPr="00742A1E" w:rsidRDefault="00742A1E" w:rsidP="00742A1E">
            <w:pPr>
              <w:spacing w:after="0" w:line="240" w:lineRule="auto"/>
              <w:jc w:val="center"/>
              <w:rPr>
                <w:rFonts w:ascii="Times New Roman" w:eastAsia="Times New Roman" w:hAnsi="Times New Roman" w:cs="Times New Roman"/>
                <w:color w:val="000000"/>
                <w:sz w:val="22"/>
                <w:szCs w:val="22"/>
              </w:rPr>
            </w:pPr>
          </w:p>
        </w:tc>
        <w:tc>
          <w:tcPr>
            <w:tcW w:w="5948" w:type="dxa"/>
            <w:vMerge/>
            <w:tcBorders>
              <w:left w:val="single" w:sz="4" w:space="0" w:color="auto"/>
              <w:bottom w:val="single" w:sz="4" w:space="0" w:color="auto"/>
              <w:right w:val="single" w:sz="4" w:space="0" w:color="auto"/>
            </w:tcBorders>
            <w:vAlign w:val="bottom"/>
            <w:hideMark/>
          </w:tcPr>
          <w:p w14:paraId="2F727068" w14:textId="77777777" w:rsidR="00742A1E" w:rsidRPr="00742A1E" w:rsidRDefault="00742A1E" w:rsidP="00742A1E">
            <w:pPr>
              <w:spacing w:after="0" w:line="240" w:lineRule="auto"/>
              <w:rPr>
                <w:rFonts w:ascii="Times New Roman" w:eastAsia="Times New Roman" w:hAnsi="Times New Roman" w:cs="Times New Roman"/>
                <w:color w:val="000000"/>
                <w:sz w:val="22"/>
                <w:szCs w:val="22"/>
              </w:rPr>
            </w:pPr>
          </w:p>
        </w:tc>
        <w:tc>
          <w:tcPr>
            <w:tcW w:w="1646" w:type="dxa"/>
            <w:tcBorders>
              <w:top w:val="nil"/>
              <w:left w:val="nil"/>
              <w:bottom w:val="single" w:sz="4" w:space="0" w:color="auto"/>
              <w:right w:val="single" w:sz="4" w:space="0" w:color="auto"/>
            </w:tcBorders>
            <w:noWrap/>
            <w:vAlign w:val="center"/>
            <w:hideMark/>
          </w:tcPr>
          <w:p w14:paraId="544F023F"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0</w:t>
            </w:r>
          </w:p>
        </w:tc>
        <w:tc>
          <w:tcPr>
            <w:tcW w:w="1472" w:type="dxa"/>
            <w:tcBorders>
              <w:top w:val="nil"/>
              <w:left w:val="nil"/>
              <w:bottom w:val="single" w:sz="4" w:space="0" w:color="auto"/>
              <w:right w:val="single" w:sz="4" w:space="0" w:color="auto"/>
            </w:tcBorders>
            <w:vAlign w:val="center"/>
          </w:tcPr>
          <w:p w14:paraId="76161B20"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5</w:t>
            </w:r>
          </w:p>
        </w:tc>
      </w:tr>
      <w:tr w:rsidR="00742A1E" w:rsidRPr="00742A1E" w14:paraId="0C4FE41D" w14:textId="77777777" w:rsidTr="00320BCC">
        <w:trPr>
          <w:trHeight w:val="385"/>
        </w:trPr>
        <w:tc>
          <w:tcPr>
            <w:tcW w:w="1054" w:type="dxa"/>
            <w:vMerge w:val="restart"/>
            <w:tcBorders>
              <w:top w:val="single" w:sz="4" w:space="0" w:color="auto"/>
              <w:left w:val="single" w:sz="4" w:space="0" w:color="auto"/>
              <w:right w:val="single" w:sz="4" w:space="0" w:color="auto"/>
            </w:tcBorders>
            <w:noWrap/>
          </w:tcPr>
          <w:p w14:paraId="439F424C" w14:textId="77777777" w:rsidR="00742A1E" w:rsidRPr="00742A1E" w:rsidRDefault="00742A1E" w:rsidP="00742A1E">
            <w:pPr>
              <w:spacing w:after="0" w:line="240" w:lineRule="auto"/>
              <w:jc w:val="center"/>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T</w:t>
            </w:r>
            <w:r w:rsidRPr="00742A1E">
              <w:rPr>
                <w:rFonts w:ascii="Times New Roman" w:eastAsia="Times New Roman" w:hAnsi="Times New Roman" w:cs="Times New Roman"/>
                <w:color w:val="000000"/>
                <w:sz w:val="22"/>
                <w:szCs w:val="22"/>
                <w:vertAlign w:val="subscript"/>
              </w:rPr>
              <w:t>4</w:t>
            </w:r>
          </w:p>
        </w:tc>
        <w:tc>
          <w:tcPr>
            <w:tcW w:w="5948" w:type="dxa"/>
            <w:vMerge w:val="restart"/>
            <w:tcBorders>
              <w:top w:val="nil"/>
              <w:left w:val="single" w:sz="4" w:space="0" w:color="auto"/>
              <w:right w:val="single" w:sz="4" w:space="0" w:color="auto"/>
            </w:tcBorders>
            <w:vAlign w:val="center"/>
          </w:tcPr>
          <w:p w14:paraId="4FBF2FBB" w14:textId="77777777" w:rsidR="00742A1E" w:rsidRPr="00742A1E" w:rsidRDefault="00742A1E" w:rsidP="00742A1E">
            <w:pPr>
              <w:spacing w:after="0" w:line="240" w:lineRule="auto"/>
              <w:rPr>
                <w:rFonts w:ascii="Times New Roman" w:eastAsia="Times New Roman" w:hAnsi="Times New Roman" w:cs="Times New Roman"/>
                <w:color w:val="000000"/>
                <w:sz w:val="22"/>
                <w:szCs w:val="22"/>
              </w:rPr>
            </w:pPr>
            <w:r w:rsidRPr="00742A1E">
              <w:rPr>
                <w:rFonts w:ascii="Times New Roman" w:eastAsia="Times New Roman" w:hAnsi="Times New Roman" w:cs="Times New Roman"/>
                <w:color w:val="000000"/>
                <w:sz w:val="22"/>
                <w:szCs w:val="22"/>
              </w:rPr>
              <w:t>Tyrimo matavimo trukmė analizatoriuje - ne ilgiau kaip 5 min</w:t>
            </w:r>
          </w:p>
        </w:tc>
        <w:tc>
          <w:tcPr>
            <w:tcW w:w="1646" w:type="dxa"/>
            <w:tcBorders>
              <w:top w:val="nil"/>
              <w:left w:val="nil"/>
              <w:bottom w:val="single" w:sz="4" w:space="0" w:color="auto"/>
              <w:right w:val="single" w:sz="4" w:space="0" w:color="auto"/>
            </w:tcBorders>
            <w:noWrap/>
            <w:vAlign w:val="center"/>
          </w:tcPr>
          <w:p w14:paraId="7496F5C4"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Taip</w:t>
            </w:r>
          </w:p>
        </w:tc>
        <w:tc>
          <w:tcPr>
            <w:tcW w:w="1472" w:type="dxa"/>
            <w:tcBorders>
              <w:top w:val="nil"/>
              <w:left w:val="nil"/>
              <w:bottom w:val="single" w:sz="4" w:space="0" w:color="auto"/>
              <w:right w:val="single" w:sz="4" w:space="0" w:color="auto"/>
            </w:tcBorders>
          </w:tcPr>
          <w:p w14:paraId="5E5F626D"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Ne</w:t>
            </w:r>
          </w:p>
        </w:tc>
      </w:tr>
      <w:tr w:rsidR="00742A1E" w:rsidRPr="00742A1E" w14:paraId="51C32646" w14:textId="77777777" w:rsidTr="00320BCC">
        <w:trPr>
          <w:trHeight w:val="385"/>
        </w:trPr>
        <w:tc>
          <w:tcPr>
            <w:tcW w:w="1054" w:type="dxa"/>
            <w:vMerge/>
            <w:tcBorders>
              <w:left w:val="single" w:sz="4" w:space="0" w:color="auto"/>
              <w:bottom w:val="single" w:sz="4" w:space="0" w:color="auto"/>
              <w:right w:val="single" w:sz="4" w:space="0" w:color="auto"/>
            </w:tcBorders>
            <w:noWrap/>
            <w:hideMark/>
          </w:tcPr>
          <w:p w14:paraId="6FEEF151" w14:textId="77777777" w:rsidR="00742A1E" w:rsidRPr="00742A1E" w:rsidRDefault="00742A1E" w:rsidP="00742A1E">
            <w:pPr>
              <w:spacing w:after="0" w:line="240" w:lineRule="auto"/>
              <w:jc w:val="center"/>
              <w:rPr>
                <w:rFonts w:ascii="Times New Roman" w:eastAsia="Times New Roman" w:hAnsi="Times New Roman" w:cs="Times New Roman"/>
                <w:color w:val="000000"/>
                <w:sz w:val="22"/>
                <w:szCs w:val="22"/>
              </w:rPr>
            </w:pPr>
          </w:p>
        </w:tc>
        <w:tc>
          <w:tcPr>
            <w:tcW w:w="5948" w:type="dxa"/>
            <w:vMerge/>
            <w:tcBorders>
              <w:left w:val="single" w:sz="4" w:space="0" w:color="auto"/>
              <w:bottom w:val="single" w:sz="4" w:space="0" w:color="auto"/>
              <w:right w:val="single" w:sz="4" w:space="0" w:color="auto"/>
            </w:tcBorders>
            <w:vAlign w:val="center"/>
            <w:hideMark/>
          </w:tcPr>
          <w:p w14:paraId="3CACA6E3" w14:textId="77777777" w:rsidR="00742A1E" w:rsidRPr="00742A1E" w:rsidRDefault="00742A1E" w:rsidP="00742A1E">
            <w:pPr>
              <w:spacing w:after="0" w:line="240" w:lineRule="auto"/>
              <w:rPr>
                <w:rFonts w:ascii="Times New Roman" w:eastAsia="Times New Roman" w:hAnsi="Times New Roman" w:cs="Times New Roman"/>
                <w:color w:val="000000"/>
                <w:sz w:val="22"/>
                <w:szCs w:val="22"/>
              </w:rPr>
            </w:pPr>
          </w:p>
        </w:tc>
        <w:tc>
          <w:tcPr>
            <w:tcW w:w="1646" w:type="dxa"/>
            <w:tcBorders>
              <w:top w:val="nil"/>
              <w:left w:val="nil"/>
              <w:bottom w:val="single" w:sz="4" w:space="0" w:color="auto"/>
              <w:right w:val="single" w:sz="4" w:space="0" w:color="auto"/>
            </w:tcBorders>
            <w:noWrap/>
            <w:vAlign w:val="center"/>
            <w:hideMark/>
          </w:tcPr>
          <w:p w14:paraId="468B330C"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0</w:t>
            </w:r>
          </w:p>
        </w:tc>
        <w:tc>
          <w:tcPr>
            <w:tcW w:w="1472" w:type="dxa"/>
            <w:tcBorders>
              <w:top w:val="nil"/>
              <w:left w:val="nil"/>
              <w:bottom w:val="single" w:sz="4" w:space="0" w:color="auto"/>
              <w:right w:val="single" w:sz="4" w:space="0" w:color="auto"/>
            </w:tcBorders>
            <w:vAlign w:val="center"/>
          </w:tcPr>
          <w:p w14:paraId="6532325E" w14:textId="77777777" w:rsidR="00742A1E" w:rsidRPr="00742A1E" w:rsidRDefault="00742A1E" w:rsidP="00742A1E">
            <w:pPr>
              <w:spacing w:after="0" w:line="240" w:lineRule="auto"/>
              <w:jc w:val="center"/>
              <w:rPr>
                <w:rFonts w:ascii="Times New Roman" w:eastAsia="Times New Roman" w:hAnsi="Times New Roman" w:cs="Times New Roman"/>
                <w:b/>
                <w:bCs/>
                <w:color w:val="000000"/>
                <w:sz w:val="22"/>
                <w:szCs w:val="22"/>
              </w:rPr>
            </w:pPr>
            <w:r w:rsidRPr="00742A1E">
              <w:rPr>
                <w:rFonts w:ascii="Times New Roman" w:eastAsia="Times New Roman" w:hAnsi="Times New Roman" w:cs="Times New Roman"/>
                <w:b/>
                <w:bCs/>
                <w:color w:val="000000"/>
                <w:sz w:val="22"/>
                <w:szCs w:val="22"/>
              </w:rPr>
              <w:t>5</w:t>
            </w:r>
          </w:p>
        </w:tc>
      </w:tr>
    </w:tbl>
    <w:p w14:paraId="46A03B5F" w14:textId="77777777" w:rsidR="00742A1E" w:rsidRPr="00742A1E" w:rsidRDefault="00742A1E" w:rsidP="00742A1E">
      <w:pPr>
        <w:suppressAutoHyphens/>
        <w:spacing w:after="0" w:line="240" w:lineRule="auto"/>
        <w:ind w:firstLine="567"/>
        <w:jc w:val="both"/>
        <w:rPr>
          <w:rFonts w:ascii="Times New Roman" w:eastAsia="Arial Unicode MS" w:hAnsi="Times New Roman" w:cs="Times New Roman"/>
          <w:sz w:val="22"/>
          <w:szCs w:val="22"/>
          <w:lang w:eastAsia="en-US"/>
        </w:rPr>
      </w:pPr>
    </w:p>
    <w:p w14:paraId="0C129397" w14:textId="77777777" w:rsidR="00742A1E" w:rsidRPr="00742A1E" w:rsidRDefault="00742A1E" w:rsidP="00742A1E">
      <w:pPr>
        <w:suppressAutoHyphens/>
        <w:spacing w:after="0" w:line="240" w:lineRule="auto"/>
        <w:ind w:firstLine="567"/>
        <w:jc w:val="both"/>
        <w:rPr>
          <w:rFonts w:ascii="Times New Roman" w:eastAsia="Arial Unicode MS" w:hAnsi="Times New Roman" w:cs="Times New Roman"/>
          <w:sz w:val="22"/>
          <w:szCs w:val="22"/>
          <w:lang w:eastAsia="en-US"/>
        </w:rPr>
      </w:pPr>
      <w:r w:rsidRPr="00742A1E">
        <w:rPr>
          <w:rFonts w:ascii="Times New Roman" w:eastAsia="Arial Unicode MS" w:hAnsi="Times New Roman" w:cs="Times New Roman"/>
          <w:sz w:val="22"/>
          <w:szCs w:val="22"/>
          <w:lang w:eastAsia="en-US"/>
        </w:rPr>
        <w:t xml:space="preserve">3. </w:t>
      </w:r>
      <w:r w:rsidRPr="00742A1E">
        <w:rPr>
          <w:rFonts w:ascii="Times New Roman" w:eastAsia="Arial Unicode MS" w:hAnsi="Times New Roman" w:cs="Times New Roman"/>
          <w:b/>
          <w:bCs/>
          <w:sz w:val="22"/>
          <w:szCs w:val="22"/>
          <w:lang w:eastAsia="en-US"/>
        </w:rPr>
        <w:t>APSKAIČIAVIMO TVARKA</w:t>
      </w:r>
    </w:p>
    <w:p w14:paraId="153B49C4" w14:textId="77777777" w:rsidR="00742A1E" w:rsidRPr="00742A1E" w:rsidRDefault="00742A1E" w:rsidP="00742A1E">
      <w:pPr>
        <w:numPr>
          <w:ilvl w:val="1"/>
          <w:numId w:val="41"/>
        </w:numPr>
        <w:tabs>
          <w:tab w:val="left" w:pos="851"/>
        </w:tabs>
        <w:suppressAutoHyphens/>
        <w:spacing w:before="120" w:after="120" w:line="240" w:lineRule="auto"/>
        <w:ind w:left="360" w:firstLine="284"/>
        <w:contextualSpacing/>
        <w:jc w:val="both"/>
        <w:rPr>
          <w:rFonts w:ascii="Times New Roman" w:eastAsia="Calibri" w:hAnsi="Times New Roman" w:cs="Times New Roman"/>
          <w:bCs/>
          <w:color w:val="000000"/>
          <w:sz w:val="22"/>
          <w:szCs w:val="22"/>
        </w:rPr>
      </w:pPr>
      <w:r w:rsidRPr="00742A1E">
        <w:rPr>
          <w:rFonts w:ascii="Times New Roman" w:eastAsia="Calibri" w:hAnsi="Times New Roman" w:cs="Times New Roman"/>
          <w:bCs/>
          <w:color w:val="000000"/>
          <w:sz w:val="22"/>
          <w:szCs w:val="22"/>
        </w:rPr>
        <w:t>Pasiūlymo kainos kriterijus K bus įvertinamas eurais (su PVM) pagal tiekėjų kainas, nurodytas pasiūlyme.</w:t>
      </w:r>
    </w:p>
    <w:p w14:paraId="1E89ACE3" w14:textId="77777777" w:rsidR="00742A1E" w:rsidRPr="00742A1E" w:rsidRDefault="00742A1E" w:rsidP="00742A1E">
      <w:pPr>
        <w:numPr>
          <w:ilvl w:val="1"/>
          <w:numId w:val="41"/>
        </w:numPr>
        <w:tabs>
          <w:tab w:val="left" w:pos="851"/>
        </w:tabs>
        <w:suppressAutoHyphens/>
        <w:spacing w:after="120" w:line="240" w:lineRule="auto"/>
        <w:ind w:left="360" w:firstLine="284"/>
        <w:contextualSpacing/>
        <w:jc w:val="both"/>
        <w:rPr>
          <w:rFonts w:ascii="Times New Roman" w:eastAsia="Calibri" w:hAnsi="Times New Roman" w:cs="Times New Roman"/>
          <w:bCs/>
          <w:color w:val="000000"/>
          <w:sz w:val="22"/>
          <w:szCs w:val="22"/>
        </w:rPr>
      </w:pPr>
      <w:r w:rsidRPr="00742A1E">
        <w:rPr>
          <w:rFonts w:ascii="Times New Roman" w:eastAsia="Calibri" w:hAnsi="Times New Roman" w:cs="Times New Roman"/>
          <w:bCs/>
          <w:color w:val="000000"/>
          <w:sz w:val="22"/>
          <w:szCs w:val="22"/>
        </w:rPr>
        <w:t>Pasiūlymo kainos (K) balas yra apskaičiuojamas mažiausios pasiūlytos kainos (</w:t>
      </w:r>
      <w:proofErr w:type="spellStart"/>
      <w:r w:rsidRPr="00742A1E">
        <w:rPr>
          <w:rFonts w:ascii="Times New Roman" w:eastAsia="Calibri" w:hAnsi="Times New Roman" w:cs="Times New Roman"/>
          <w:bCs/>
          <w:color w:val="000000"/>
          <w:sz w:val="22"/>
          <w:szCs w:val="22"/>
        </w:rPr>
        <w:t>K</w:t>
      </w:r>
      <w:r w:rsidRPr="00742A1E">
        <w:rPr>
          <w:rFonts w:ascii="Times New Roman" w:eastAsia="Calibri" w:hAnsi="Times New Roman" w:cs="Times New Roman"/>
          <w:bCs/>
          <w:color w:val="000000"/>
          <w:sz w:val="22"/>
          <w:szCs w:val="22"/>
          <w:vertAlign w:val="subscript"/>
        </w:rPr>
        <w:t>min</w:t>
      </w:r>
      <w:proofErr w:type="spellEnd"/>
      <w:r w:rsidRPr="00742A1E">
        <w:rPr>
          <w:rFonts w:ascii="Times New Roman" w:eastAsia="Calibri" w:hAnsi="Times New Roman" w:cs="Times New Roman"/>
          <w:bCs/>
          <w:color w:val="000000"/>
          <w:sz w:val="22"/>
          <w:szCs w:val="22"/>
        </w:rPr>
        <w:t>) ir vertinamo pasiūlymo kainos (K</w:t>
      </w:r>
      <w:r w:rsidRPr="00742A1E">
        <w:rPr>
          <w:rFonts w:ascii="Times New Roman" w:eastAsia="Calibri" w:hAnsi="Times New Roman" w:cs="Times New Roman"/>
          <w:bCs/>
          <w:color w:val="000000"/>
          <w:sz w:val="22"/>
          <w:szCs w:val="22"/>
          <w:vertAlign w:val="subscript"/>
        </w:rPr>
        <w:t>V</w:t>
      </w:r>
      <w:r w:rsidRPr="00742A1E">
        <w:rPr>
          <w:rFonts w:ascii="Times New Roman" w:eastAsia="Calibri" w:hAnsi="Times New Roman" w:cs="Times New Roman"/>
          <w:bCs/>
          <w:color w:val="000000"/>
          <w:sz w:val="22"/>
          <w:szCs w:val="22"/>
        </w:rPr>
        <w:t>) santykį padauginant iš kainos lyginamojo svorio (X):</w:t>
      </w:r>
    </w:p>
    <w:p w14:paraId="22BA3B49" w14:textId="77777777" w:rsidR="00742A1E" w:rsidRPr="00742A1E" w:rsidRDefault="00742A1E" w:rsidP="00742A1E">
      <w:pPr>
        <w:tabs>
          <w:tab w:val="left" w:pos="851"/>
          <w:tab w:val="left" w:pos="1276"/>
        </w:tabs>
        <w:suppressAutoHyphens/>
        <w:spacing w:after="120" w:line="240" w:lineRule="auto"/>
        <w:ind w:left="450"/>
        <w:jc w:val="both"/>
        <w:rPr>
          <w:rFonts w:ascii="Times New Roman" w:eastAsia="Calibri" w:hAnsi="Times New Roman" w:cs="Times New Roman"/>
          <w:bCs/>
          <w:color w:val="000000"/>
          <w:sz w:val="22"/>
          <w:szCs w:val="22"/>
        </w:rPr>
      </w:pPr>
      <m:oMathPara>
        <m:oMathParaPr>
          <m:jc m:val="center"/>
        </m:oMathParaPr>
        <m:oMath>
          <m:r>
            <m:rPr>
              <m:sty m:val="p"/>
            </m:rPr>
            <w:rPr>
              <w:rFonts w:ascii="Cambria Math" w:eastAsia="Calibri" w:hAnsi="Cambria Math" w:cs="Times New Roman"/>
              <w:color w:val="000000"/>
              <w:sz w:val="22"/>
              <w:szCs w:val="22"/>
            </w:rPr>
            <m:t>K=</m:t>
          </m:r>
          <m:f>
            <m:fPr>
              <m:ctrlPr>
                <w:rPr>
                  <w:rFonts w:ascii="Cambria Math" w:eastAsia="Calibri" w:hAnsi="Cambria Math" w:cs="Times New Roman"/>
                  <w:bCs/>
                  <w:color w:val="000000"/>
                  <w:sz w:val="22"/>
                  <w:szCs w:val="22"/>
                </w:rPr>
              </m:ctrlPr>
            </m:fPr>
            <m:num>
              <m:sSub>
                <m:sSubPr>
                  <m:ctrlPr>
                    <w:rPr>
                      <w:rFonts w:ascii="Cambria Math" w:eastAsia="Calibri" w:hAnsi="Cambria Math" w:cs="Times New Roman"/>
                      <w:bCs/>
                      <w:color w:val="000000"/>
                      <w:sz w:val="22"/>
                      <w:szCs w:val="22"/>
                    </w:rPr>
                  </m:ctrlPr>
                </m:sSubPr>
                <m:e>
                  <m:r>
                    <m:rPr>
                      <m:sty m:val="p"/>
                    </m:rPr>
                    <w:rPr>
                      <w:rFonts w:ascii="Cambria Math" w:eastAsia="Calibri" w:hAnsi="Cambria Math" w:cs="Times New Roman"/>
                      <w:color w:val="000000"/>
                      <w:sz w:val="22"/>
                      <w:szCs w:val="22"/>
                    </w:rPr>
                    <m:t>K</m:t>
                  </m:r>
                </m:e>
                <m:sub>
                  <m:r>
                    <m:rPr>
                      <m:sty m:val="p"/>
                    </m:rPr>
                    <w:rPr>
                      <w:rFonts w:ascii="Cambria Math" w:eastAsia="Calibri" w:hAnsi="Cambria Math" w:cs="Times New Roman"/>
                      <w:color w:val="000000"/>
                      <w:sz w:val="22"/>
                      <w:szCs w:val="22"/>
                    </w:rPr>
                    <m:t>min</m:t>
                  </m:r>
                </m:sub>
              </m:sSub>
            </m:num>
            <m:den>
              <m:sSub>
                <m:sSubPr>
                  <m:ctrlPr>
                    <w:rPr>
                      <w:rFonts w:ascii="Cambria Math" w:eastAsia="Calibri" w:hAnsi="Cambria Math" w:cs="Times New Roman"/>
                      <w:bCs/>
                      <w:color w:val="000000"/>
                      <w:sz w:val="22"/>
                      <w:szCs w:val="22"/>
                    </w:rPr>
                  </m:ctrlPr>
                </m:sSubPr>
                <m:e>
                  <m:r>
                    <m:rPr>
                      <m:sty m:val="p"/>
                    </m:rPr>
                    <w:rPr>
                      <w:rFonts w:ascii="Cambria Math" w:eastAsia="Calibri" w:hAnsi="Cambria Math" w:cs="Times New Roman"/>
                      <w:color w:val="000000"/>
                      <w:sz w:val="22"/>
                      <w:szCs w:val="22"/>
                    </w:rPr>
                    <m:t>K</m:t>
                  </m:r>
                </m:e>
                <m:sub>
                  <m:r>
                    <m:rPr>
                      <m:sty m:val="p"/>
                    </m:rPr>
                    <w:rPr>
                      <w:rFonts w:ascii="Cambria Math" w:eastAsia="Calibri" w:hAnsi="Cambria Math" w:cs="Times New Roman"/>
                      <w:color w:val="000000"/>
                      <w:sz w:val="22"/>
                      <w:szCs w:val="22"/>
                    </w:rPr>
                    <m:t>v</m:t>
                  </m:r>
                </m:sub>
              </m:sSub>
            </m:den>
          </m:f>
          <m:r>
            <m:rPr>
              <m:sty m:val="p"/>
            </m:rPr>
            <w:rPr>
              <w:rFonts w:ascii="Cambria Math" w:eastAsia="Calibri" w:hAnsi="Cambria Math" w:cs="Times New Roman"/>
              <w:color w:val="000000"/>
              <w:sz w:val="22"/>
              <w:szCs w:val="22"/>
            </w:rPr>
            <m:t xml:space="preserve"> ×X</m:t>
          </m:r>
        </m:oMath>
      </m:oMathPara>
    </w:p>
    <w:p w14:paraId="5D81298C" w14:textId="77777777" w:rsidR="00742A1E" w:rsidRPr="00742A1E" w:rsidRDefault="00742A1E" w:rsidP="00742A1E">
      <w:pPr>
        <w:numPr>
          <w:ilvl w:val="1"/>
          <w:numId w:val="41"/>
        </w:numPr>
        <w:tabs>
          <w:tab w:val="left" w:pos="851"/>
        </w:tabs>
        <w:suppressAutoHyphens/>
        <w:spacing w:after="120" w:line="240" w:lineRule="auto"/>
        <w:ind w:left="360" w:firstLine="284"/>
        <w:contextualSpacing/>
        <w:jc w:val="both"/>
        <w:rPr>
          <w:rFonts w:ascii="Times New Roman" w:eastAsia="Calibri" w:hAnsi="Times New Roman" w:cs="Times New Roman"/>
          <w:bCs/>
          <w:color w:val="000000"/>
          <w:sz w:val="22"/>
          <w:szCs w:val="22"/>
        </w:rPr>
      </w:pPr>
      <w:r w:rsidRPr="00742A1E">
        <w:rPr>
          <w:rFonts w:ascii="Times New Roman" w:eastAsia="Calibri" w:hAnsi="Times New Roman" w:cs="Times New Roman"/>
          <w:bCs/>
          <w:color w:val="000000"/>
          <w:sz w:val="22"/>
          <w:szCs w:val="22"/>
        </w:rPr>
        <w:t xml:space="preserve">Siūlomo objekto techniniai pranašumai įvertinami statiniu vertinimo būdu ir neturi skaitinių išraiškų (yra arba nėra), todėl parametro įvertinimas apskaičiuojamas pagal formulę: </w:t>
      </w:r>
    </w:p>
    <w:p w14:paraId="3F23CB62" w14:textId="77777777" w:rsidR="00742A1E" w:rsidRPr="00742A1E" w:rsidRDefault="00742A1E" w:rsidP="00742A1E">
      <w:pPr>
        <w:numPr>
          <w:ilvl w:val="2"/>
          <w:numId w:val="41"/>
        </w:numPr>
        <w:tabs>
          <w:tab w:val="left" w:pos="1276"/>
          <w:tab w:val="left" w:pos="2835"/>
        </w:tabs>
        <w:suppressAutoHyphens/>
        <w:spacing w:after="120" w:line="240" w:lineRule="auto"/>
        <w:ind w:firstLine="567"/>
        <w:contextualSpacing/>
        <w:jc w:val="both"/>
        <w:rPr>
          <w:rFonts w:ascii="Times New Roman" w:eastAsia="Calibri" w:hAnsi="Times New Roman" w:cs="Times New Roman"/>
          <w:bCs/>
          <w:color w:val="000000"/>
          <w:sz w:val="22"/>
          <w:szCs w:val="22"/>
        </w:rPr>
      </w:pPr>
      <w:r w:rsidRPr="00742A1E">
        <w:rPr>
          <w:rFonts w:ascii="Times New Roman" w:eastAsia="Calibri" w:hAnsi="Times New Roman" w:cs="Times New Roman"/>
          <w:bCs/>
          <w:color w:val="000000"/>
          <w:sz w:val="22"/>
          <w:szCs w:val="22"/>
        </w:rPr>
        <w:t xml:space="preserve">Jei siūlomas objektas turi nurodytą pranašumą:   </w:t>
      </w:r>
      <w:r w:rsidRPr="00742A1E">
        <w:rPr>
          <w:rFonts w:ascii="Times New Roman" w:eastAsia="Calibri" w:hAnsi="Times New Roman" w:cs="Times New Roman"/>
          <w:bCs/>
          <w:i/>
          <w:color w:val="000000"/>
          <w:sz w:val="22"/>
          <w:szCs w:val="22"/>
        </w:rPr>
        <w:t>T = L</w:t>
      </w:r>
      <w:r w:rsidRPr="00742A1E">
        <w:rPr>
          <w:rFonts w:ascii="Times New Roman" w:eastAsia="Calibri" w:hAnsi="Times New Roman" w:cs="Times New Roman"/>
          <w:bCs/>
          <w:color w:val="000000"/>
          <w:sz w:val="22"/>
          <w:szCs w:val="22"/>
        </w:rPr>
        <w:t xml:space="preserve"> </w:t>
      </w:r>
    </w:p>
    <w:p w14:paraId="5B3E3B2D" w14:textId="77777777" w:rsidR="00742A1E" w:rsidRPr="00742A1E" w:rsidRDefault="00742A1E" w:rsidP="00742A1E">
      <w:pPr>
        <w:numPr>
          <w:ilvl w:val="2"/>
          <w:numId w:val="41"/>
        </w:numPr>
        <w:tabs>
          <w:tab w:val="left" w:pos="1276"/>
          <w:tab w:val="left" w:pos="2835"/>
        </w:tabs>
        <w:suppressAutoHyphens/>
        <w:spacing w:after="120" w:line="240" w:lineRule="auto"/>
        <w:ind w:firstLine="567"/>
        <w:contextualSpacing/>
        <w:jc w:val="both"/>
        <w:rPr>
          <w:rFonts w:ascii="Times New Roman" w:eastAsia="Calibri" w:hAnsi="Times New Roman" w:cs="Times New Roman"/>
          <w:bCs/>
          <w:color w:val="000000"/>
          <w:sz w:val="22"/>
          <w:szCs w:val="22"/>
        </w:rPr>
      </w:pPr>
      <w:r w:rsidRPr="00742A1E">
        <w:rPr>
          <w:rFonts w:ascii="Times New Roman" w:eastAsia="Calibri" w:hAnsi="Times New Roman" w:cs="Times New Roman"/>
          <w:bCs/>
          <w:color w:val="000000"/>
          <w:sz w:val="22"/>
          <w:szCs w:val="22"/>
        </w:rPr>
        <w:t xml:space="preserve">Jei siūlomas objektas neturi nurodyto pranašumo:  </w:t>
      </w:r>
      <w:r w:rsidRPr="00742A1E">
        <w:rPr>
          <w:rFonts w:ascii="Times New Roman" w:eastAsia="Calibri" w:hAnsi="Times New Roman" w:cs="Times New Roman"/>
          <w:bCs/>
          <w:i/>
          <w:color w:val="000000"/>
          <w:sz w:val="22"/>
          <w:szCs w:val="22"/>
        </w:rPr>
        <w:t>T = L = 0</w:t>
      </w:r>
    </w:p>
    <w:p w14:paraId="7D711F9C" w14:textId="77777777" w:rsidR="00742A1E" w:rsidRPr="00742A1E" w:rsidRDefault="00742A1E" w:rsidP="00742A1E">
      <w:pPr>
        <w:numPr>
          <w:ilvl w:val="1"/>
          <w:numId w:val="41"/>
        </w:numPr>
        <w:tabs>
          <w:tab w:val="left" w:pos="851"/>
        </w:tabs>
        <w:suppressAutoHyphens/>
        <w:spacing w:after="120" w:line="240" w:lineRule="auto"/>
        <w:ind w:left="360" w:firstLine="284"/>
        <w:contextualSpacing/>
        <w:jc w:val="both"/>
        <w:rPr>
          <w:rFonts w:ascii="Times New Roman" w:eastAsia="Calibri" w:hAnsi="Times New Roman" w:cs="Times New Roman"/>
          <w:bCs/>
          <w:color w:val="000000"/>
          <w:sz w:val="22"/>
          <w:szCs w:val="22"/>
        </w:rPr>
      </w:pPr>
      <w:r w:rsidRPr="00742A1E">
        <w:rPr>
          <w:rFonts w:ascii="Times New Roman" w:eastAsia="Calibri" w:hAnsi="Times New Roman" w:cs="Times New Roman"/>
          <w:bCs/>
          <w:color w:val="000000"/>
          <w:sz w:val="22"/>
          <w:szCs w:val="22"/>
        </w:rPr>
        <w:t>Pasiūlymo ekonominis naudingumas (kainos ir kokybės santykis) (E) apskaičiuojamas sudedant tiekėjo pasiūlymo kainos (K) ir techninio kriterijaus (T) balus:</w:t>
      </w:r>
    </w:p>
    <w:p w14:paraId="77D6A3F2" w14:textId="77777777" w:rsidR="00742A1E" w:rsidRPr="00742A1E" w:rsidRDefault="00742A1E" w:rsidP="00742A1E">
      <w:pPr>
        <w:suppressAutoHyphens/>
        <w:spacing w:after="0" w:line="240" w:lineRule="auto"/>
        <w:ind w:firstLine="567"/>
        <w:jc w:val="center"/>
        <w:rPr>
          <w:rFonts w:ascii="Times New Roman" w:eastAsia="Arial Unicode MS" w:hAnsi="Times New Roman" w:cs="Times New Roman"/>
          <w:sz w:val="22"/>
          <w:szCs w:val="22"/>
          <w:lang w:eastAsia="en-US"/>
        </w:rPr>
      </w:pPr>
      <w:r w:rsidRPr="00742A1E">
        <w:rPr>
          <w:rFonts w:ascii="Times New Roman" w:eastAsia="Calibri" w:hAnsi="Times New Roman" w:cs="Times New Roman"/>
          <w:bCs/>
          <w:color w:val="000000"/>
          <w:sz w:val="22"/>
          <w:szCs w:val="22"/>
        </w:rPr>
        <w:t>E=K+T</w:t>
      </w:r>
    </w:p>
    <w:p w14:paraId="005C79EC" w14:textId="77777777" w:rsidR="00742A1E" w:rsidRPr="00742A1E" w:rsidRDefault="00742A1E" w:rsidP="00742A1E">
      <w:pPr>
        <w:numPr>
          <w:ilvl w:val="0"/>
          <w:numId w:val="41"/>
        </w:numPr>
        <w:tabs>
          <w:tab w:val="left" w:pos="1134"/>
        </w:tabs>
        <w:spacing w:after="0" w:line="240" w:lineRule="auto"/>
        <w:ind w:left="426" w:firstLine="425"/>
        <w:contextualSpacing/>
        <w:jc w:val="both"/>
        <w:rPr>
          <w:rFonts w:ascii="Times New Roman" w:eastAsia="Calibri" w:hAnsi="Times New Roman" w:cs="Times New Roman"/>
          <w:sz w:val="24"/>
          <w:szCs w:val="24"/>
        </w:rPr>
      </w:pPr>
      <w:r w:rsidRPr="00742A1E">
        <w:rPr>
          <w:rFonts w:ascii="Times New Roman" w:eastAsia="Calibri" w:hAnsi="Times New Roman" w:cs="Times New Roman"/>
          <w:sz w:val="24"/>
          <w:szCs w:val="24"/>
        </w:rPr>
        <w:t>Tiekėjų surinkti ekonominio naudingumo balai bus perskaičiuojami, jei tiekėjo pasiūlymas, kurio pirkimo metu nustatyto parametro reikšmė buvo geriausia ir su ja buvo lyginamos kitų dalyvių parametrų reikšmės:</w:t>
      </w:r>
    </w:p>
    <w:p w14:paraId="76BE01B6" w14:textId="77777777" w:rsidR="00742A1E" w:rsidRPr="00742A1E" w:rsidRDefault="00742A1E" w:rsidP="00742A1E">
      <w:pPr>
        <w:tabs>
          <w:tab w:val="left" w:pos="1560"/>
          <w:tab w:val="left" w:pos="1843"/>
          <w:tab w:val="left" w:pos="2268"/>
        </w:tabs>
        <w:spacing w:after="0" w:line="240" w:lineRule="auto"/>
        <w:ind w:left="900" w:firstLine="1368"/>
        <w:jc w:val="both"/>
        <w:rPr>
          <w:rFonts w:ascii="Times New Roman" w:eastAsia="Calibri" w:hAnsi="Times New Roman" w:cs="Times New Roman"/>
          <w:sz w:val="24"/>
          <w:szCs w:val="24"/>
        </w:rPr>
      </w:pPr>
      <w:r w:rsidRPr="00742A1E">
        <w:rPr>
          <w:rFonts w:ascii="Times New Roman" w:eastAsia="Calibri" w:hAnsi="Times New Roman" w:cs="Times New Roman"/>
          <w:sz w:val="24"/>
          <w:szCs w:val="24"/>
        </w:rPr>
        <w:t>4.1.yra atmetamas;</w:t>
      </w:r>
    </w:p>
    <w:p w14:paraId="72549F0C" w14:textId="77777777" w:rsidR="00742A1E" w:rsidRPr="00742A1E" w:rsidRDefault="00742A1E" w:rsidP="00742A1E">
      <w:pPr>
        <w:numPr>
          <w:ilvl w:val="1"/>
          <w:numId w:val="42"/>
        </w:numPr>
        <w:tabs>
          <w:tab w:val="left" w:pos="1560"/>
          <w:tab w:val="left" w:pos="1843"/>
          <w:tab w:val="left" w:pos="2268"/>
          <w:tab w:val="left" w:pos="2694"/>
        </w:tabs>
        <w:spacing w:after="0" w:line="240" w:lineRule="auto"/>
        <w:ind w:firstLine="1008"/>
        <w:contextualSpacing/>
        <w:jc w:val="both"/>
        <w:rPr>
          <w:rFonts w:ascii="Times New Roman" w:eastAsia="Calibri" w:hAnsi="Times New Roman" w:cs="Times New Roman"/>
          <w:sz w:val="24"/>
          <w:szCs w:val="24"/>
        </w:rPr>
      </w:pPr>
      <w:r w:rsidRPr="00742A1E">
        <w:rPr>
          <w:rFonts w:ascii="Times New Roman" w:eastAsia="Calibri" w:hAnsi="Times New Roman" w:cs="Times New Roman"/>
          <w:sz w:val="24"/>
          <w:szCs w:val="24"/>
        </w:rPr>
        <w:t>tiekėjas atšaukia savo pasiūlymą.</w:t>
      </w:r>
    </w:p>
    <w:p w14:paraId="33668838" w14:textId="77777777" w:rsidR="00742A1E" w:rsidRPr="00742A1E" w:rsidRDefault="00742A1E" w:rsidP="00742A1E">
      <w:pPr>
        <w:numPr>
          <w:ilvl w:val="1"/>
          <w:numId w:val="42"/>
        </w:numPr>
        <w:tabs>
          <w:tab w:val="left" w:pos="1843"/>
          <w:tab w:val="left" w:pos="2268"/>
        </w:tabs>
        <w:spacing w:after="0" w:line="240" w:lineRule="auto"/>
        <w:ind w:hanging="486"/>
        <w:jc w:val="both"/>
        <w:rPr>
          <w:rFonts w:ascii="Times New Roman" w:eastAsia="Calibri" w:hAnsi="Times New Roman" w:cs="Times New Roman"/>
          <w:sz w:val="24"/>
          <w:szCs w:val="24"/>
        </w:rPr>
      </w:pPr>
      <w:r w:rsidRPr="00742A1E">
        <w:rPr>
          <w:rFonts w:ascii="Times New Roman" w:eastAsia="Calibri" w:hAnsi="Times New Roman" w:cs="Times New Roman"/>
          <w:sz w:val="24"/>
          <w:szCs w:val="24"/>
        </w:rPr>
        <w:t>Kriterijų balai apvalinami paliekant 2 (du) skaitmenis po kablelio.</w:t>
      </w:r>
    </w:p>
    <w:p w14:paraId="36163F6F" w14:textId="73BB900F" w:rsidR="00742A1E" w:rsidRPr="00742A1E" w:rsidRDefault="00742A1E" w:rsidP="00C25E37">
      <w:pPr>
        <w:numPr>
          <w:ilvl w:val="0"/>
          <w:numId w:val="42"/>
        </w:numPr>
        <w:tabs>
          <w:tab w:val="left" w:pos="1134"/>
          <w:tab w:val="left" w:pos="1843"/>
        </w:tabs>
        <w:spacing w:after="0" w:line="259" w:lineRule="auto"/>
        <w:ind w:firstLine="349"/>
        <w:contextualSpacing/>
        <w:jc w:val="center"/>
        <w:rPr>
          <w:rFonts w:ascii="Times New Roman" w:eastAsia="Calibri" w:hAnsi="Times New Roman" w:cs="Times New Roman"/>
          <w:sz w:val="22"/>
          <w:szCs w:val="22"/>
        </w:rPr>
      </w:pPr>
      <w:r w:rsidRPr="00742A1E">
        <w:rPr>
          <w:rFonts w:ascii="Times New Roman" w:eastAsia="Calibri" w:hAnsi="Times New Roman" w:cs="Times New Roman"/>
          <w:sz w:val="24"/>
          <w:szCs w:val="24"/>
        </w:rPr>
        <w:t>Tais atvejais, kai kelių dalyvių pasiūlymų ekonominis naudingumas yra vienodas, nustatant pasiūlymų eilę, pirmesnis į šią eilę įrašomas tiekėjas, kurio pasiūlymas pateiktas anksčiausiai.</w:t>
      </w:r>
      <w:bookmarkEnd w:id="74"/>
    </w:p>
    <w:p w14:paraId="6B6E906A" w14:textId="77777777" w:rsidR="00742A1E" w:rsidRPr="00F46BF9" w:rsidRDefault="00742A1E" w:rsidP="00742A1E">
      <w:pPr>
        <w:pStyle w:val="paragrafesrasas2lygis"/>
        <w:spacing w:after="0"/>
        <w:ind w:left="709"/>
        <w:rPr>
          <w:rFonts w:eastAsia="Calibri" w:cstheme="minorHAnsi"/>
        </w:rPr>
      </w:pP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FA0648" w:rsidRDefault="00FA78CB" w:rsidP="00FA78CB">
      <w:pPr>
        <w:pStyle w:val="Antrat2"/>
        <w:ind w:left="5103"/>
        <w:rPr>
          <w:rFonts w:ascii="Times New Roman" w:hAnsi="Times New Roman" w:cs="Times New Roman"/>
          <w:b/>
          <w:bCs/>
          <w:color w:val="auto"/>
          <w:sz w:val="24"/>
          <w:szCs w:val="24"/>
        </w:rPr>
      </w:pPr>
      <w:bookmarkStart w:id="75" w:name="_Toc126333948"/>
      <w:bookmarkStart w:id="76" w:name="_Toc166755536"/>
      <w:bookmarkEnd w:id="71"/>
      <w:bookmarkEnd w:id="72"/>
      <w:bookmarkEnd w:id="73"/>
      <w:r w:rsidRPr="00FA0648">
        <w:rPr>
          <w:rFonts w:ascii="Times New Roman" w:hAnsi="Times New Roman" w:cs="Times New Roman"/>
          <w:b/>
          <w:bCs/>
          <w:color w:val="auto"/>
          <w:sz w:val="24"/>
          <w:szCs w:val="24"/>
        </w:rPr>
        <w:t xml:space="preserve">Pirkimo sąlygų </w:t>
      </w:r>
      <w:r w:rsidR="00885302" w:rsidRPr="00FA0648">
        <w:rPr>
          <w:rFonts w:ascii="Times New Roman" w:hAnsi="Times New Roman" w:cs="Times New Roman"/>
          <w:b/>
          <w:bCs/>
          <w:color w:val="auto"/>
          <w:sz w:val="24"/>
          <w:szCs w:val="24"/>
        </w:rPr>
        <w:t>8</w:t>
      </w:r>
      <w:r w:rsidRPr="00FA0648">
        <w:rPr>
          <w:rFonts w:ascii="Times New Roman" w:hAnsi="Times New Roman" w:cs="Times New Roman"/>
          <w:b/>
          <w:bCs/>
          <w:color w:val="auto"/>
          <w:sz w:val="24"/>
          <w:szCs w:val="24"/>
        </w:rPr>
        <w:t xml:space="preserve"> priedas „Sutarties projektas“</w:t>
      </w:r>
      <w:bookmarkEnd w:id="75"/>
      <w:bookmarkEnd w:id="76"/>
    </w:p>
    <w:p w14:paraId="64CF300F" w14:textId="77777777" w:rsidR="00FA78CB" w:rsidRPr="00FA0648"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FA0648">
        <w:rPr>
          <w:rFonts w:ascii="Times New Roman" w:hAnsi="Times New Roman" w:cs="Times New Roman"/>
          <w:sz w:val="24"/>
          <w:szCs w:val="24"/>
        </w:rPr>
        <w:t>Pateikiamas atskiru dokumentu CVP IS.</w:t>
      </w:r>
    </w:p>
    <w:p w14:paraId="5EE40748" w14:textId="77777777" w:rsidR="00FA0648" w:rsidRDefault="00FA0648" w:rsidP="00FA78CB">
      <w:pPr>
        <w:pStyle w:val="Sraopastraipa"/>
        <w:tabs>
          <w:tab w:val="left" w:pos="851"/>
        </w:tabs>
        <w:spacing w:after="0" w:line="240" w:lineRule="auto"/>
        <w:ind w:left="567"/>
        <w:jc w:val="both"/>
        <w:rPr>
          <w:rFonts w:ascii="Times New Roman" w:hAnsi="Times New Roman" w:cs="Times New Roman"/>
          <w:sz w:val="24"/>
          <w:szCs w:val="24"/>
        </w:rPr>
        <w:sectPr w:rsidR="00FA0648" w:rsidSect="007A6966">
          <w:pgSz w:w="12240" w:h="15840"/>
          <w:pgMar w:top="709" w:right="567" w:bottom="709" w:left="1701" w:header="720" w:footer="720" w:gutter="0"/>
          <w:cols w:space="720"/>
          <w:titlePg/>
          <w:docGrid w:linePitch="360"/>
        </w:sectPr>
      </w:pPr>
    </w:p>
    <w:p w14:paraId="6CF84F70" w14:textId="7F343326" w:rsidR="00FA0648" w:rsidRPr="00FA0648" w:rsidRDefault="00FA0648" w:rsidP="00FA0648">
      <w:pPr>
        <w:pStyle w:val="Antrat2"/>
        <w:ind w:left="5103"/>
        <w:rPr>
          <w:rFonts w:ascii="Times New Roman" w:hAnsi="Times New Roman" w:cs="Times New Roman"/>
          <w:b/>
          <w:bCs/>
          <w:color w:val="auto"/>
          <w:sz w:val="24"/>
          <w:szCs w:val="24"/>
        </w:rPr>
      </w:pPr>
      <w:r w:rsidRPr="00FA0648">
        <w:rPr>
          <w:rFonts w:ascii="Times New Roman" w:hAnsi="Times New Roman" w:cs="Times New Roman"/>
          <w:b/>
          <w:bCs/>
          <w:color w:val="auto"/>
          <w:sz w:val="24"/>
          <w:szCs w:val="24"/>
        </w:rPr>
        <w:t xml:space="preserve">Pirkimo sąlygų </w:t>
      </w:r>
      <w:r w:rsidRPr="00FA0648">
        <w:rPr>
          <w:rFonts w:ascii="Times New Roman" w:hAnsi="Times New Roman" w:cs="Times New Roman"/>
          <w:b/>
          <w:bCs/>
          <w:color w:val="auto"/>
          <w:sz w:val="24"/>
          <w:szCs w:val="24"/>
        </w:rPr>
        <w:t>9</w:t>
      </w:r>
      <w:r w:rsidRPr="00FA0648">
        <w:rPr>
          <w:rFonts w:ascii="Times New Roman" w:hAnsi="Times New Roman" w:cs="Times New Roman"/>
          <w:b/>
          <w:bCs/>
          <w:color w:val="auto"/>
          <w:sz w:val="24"/>
          <w:szCs w:val="24"/>
        </w:rPr>
        <w:t xml:space="preserve"> priedas „</w:t>
      </w:r>
      <w:r w:rsidRPr="00FA0648">
        <w:rPr>
          <w:rFonts w:ascii="Times New Roman" w:hAnsi="Times New Roman" w:cs="Times New Roman"/>
          <w:b/>
          <w:bCs/>
          <w:color w:val="auto"/>
          <w:sz w:val="24"/>
          <w:szCs w:val="24"/>
        </w:rPr>
        <w:t>Panaudos s</w:t>
      </w:r>
      <w:r w:rsidRPr="00FA0648">
        <w:rPr>
          <w:rFonts w:ascii="Times New Roman" w:hAnsi="Times New Roman" w:cs="Times New Roman"/>
          <w:b/>
          <w:bCs/>
          <w:color w:val="auto"/>
          <w:sz w:val="24"/>
          <w:szCs w:val="24"/>
        </w:rPr>
        <w:t>utarties projektas“</w:t>
      </w:r>
    </w:p>
    <w:p w14:paraId="0D0C6650" w14:textId="77777777" w:rsidR="00FA0648" w:rsidRPr="00FA0648" w:rsidRDefault="00FA0648" w:rsidP="00FA0648">
      <w:pPr>
        <w:rPr>
          <w:rFonts w:ascii="Times New Roman" w:hAnsi="Times New Roman" w:cs="Times New Roman"/>
          <w:sz w:val="24"/>
          <w:szCs w:val="24"/>
        </w:rPr>
      </w:pPr>
    </w:p>
    <w:p w14:paraId="2FBDD0D2" w14:textId="77777777" w:rsidR="00FA0648" w:rsidRPr="00FA0648" w:rsidRDefault="00FA0648" w:rsidP="00FA0648">
      <w:pPr>
        <w:pStyle w:val="Sraopastraipa"/>
        <w:tabs>
          <w:tab w:val="left" w:pos="851"/>
        </w:tabs>
        <w:spacing w:after="0" w:line="240" w:lineRule="auto"/>
        <w:ind w:left="567"/>
        <w:jc w:val="both"/>
        <w:rPr>
          <w:rFonts w:ascii="Times New Roman" w:hAnsi="Times New Roman" w:cs="Times New Roman"/>
          <w:sz w:val="24"/>
          <w:szCs w:val="24"/>
        </w:rPr>
      </w:pPr>
      <w:r w:rsidRPr="00FA0648">
        <w:rPr>
          <w:rFonts w:ascii="Times New Roman" w:hAnsi="Times New Roman" w:cs="Times New Roman"/>
          <w:sz w:val="24"/>
          <w:szCs w:val="24"/>
        </w:rPr>
        <w:t>Pateikiamas atskiru dokumentu CVP IS.</w:t>
      </w:r>
    </w:p>
    <w:p w14:paraId="2000E640" w14:textId="77777777" w:rsidR="00FA0648" w:rsidRPr="00FA0648" w:rsidRDefault="00FA0648" w:rsidP="00FA0648">
      <w:pPr>
        <w:jc w:val="both"/>
        <w:rPr>
          <w:rFonts w:ascii="Times New Roman" w:eastAsia="Calibri" w:hAnsi="Times New Roman" w:cs="Times New Roman"/>
          <w:i/>
          <w:iCs/>
          <w:sz w:val="24"/>
          <w:szCs w:val="24"/>
        </w:rPr>
      </w:pPr>
    </w:p>
    <w:p w14:paraId="3546241C" w14:textId="77777777" w:rsidR="00FA0648" w:rsidRPr="00FA0648" w:rsidRDefault="00FA0648" w:rsidP="00FA78CB">
      <w:pPr>
        <w:pStyle w:val="Sraopastraipa"/>
        <w:tabs>
          <w:tab w:val="left" w:pos="851"/>
        </w:tabs>
        <w:spacing w:after="0" w:line="240" w:lineRule="auto"/>
        <w:ind w:left="567"/>
        <w:jc w:val="both"/>
        <w:rPr>
          <w:rFonts w:ascii="Times New Roman" w:hAnsi="Times New Roman" w:cs="Times New Roman"/>
          <w:sz w:val="24"/>
          <w:szCs w:val="24"/>
        </w:rPr>
      </w:pPr>
    </w:p>
    <w:p w14:paraId="2846E10D" w14:textId="3DC6F432" w:rsidR="00F47123" w:rsidRPr="00FA0648" w:rsidRDefault="00F47123" w:rsidP="00463465">
      <w:pPr>
        <w:jc w:val="both"/>
        <w:rPr>
          <w:rFonts w:ascii="Times New Roman" w:eastAsia="Calibri" w:hAnsi="Times New Roman" w:cs="Times New Roman"/>
          <w:i/>
          <w:iCs/>
          <w:sz w:val="24"/>
          <w:szCs w:val="24"/>
        </w:rPr>
      </w:pPr>
    </w:p>
    <w:sectPr w:rsidR="00F47123" w:rsidRPr="00FA0648" w:rsidSect="00FA0648">
      <w:pgSz w:w="12240" w:h="15840"/>
      <w:pgMar w:top="709"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BC4E77"/>
    <w:multiLevelType w:val="multilevel"/>
    <w:tmpl w:val="D5D030D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EC3B23"/>
    <w:multiLevelType w:val="multilevel"/>
    <w:tmpl w:val="B9BE6412"/>
    <w:lvl w:ilvl="0">
      <w:start w:val="6"/>
      <w:numFmt w:val="decimal"/>
      <w:lvlText w:val="%1."/>
      <w:lvlJc w:val="left"/>
      <w:pPr>
        <w:ind w:left="540" w:hanging="540"/>
      </w:pPr>
      <w:rPr>
        <w:rFonts w:hint="default"/>
        <w:u w:val="none"/>
      </w:rPr>
    </w:lvl>
    <w:lvl w:ilvl="1">
      <w:start w:val="5"/>
      <w:numFmt w:val="decimal"/>
      <w:lvlText w:val="%1.%2."/>
      <w:lvlJc w:val="left"/>
      <w:pPr>
        <w:ind w:left="965" w:hanging="540"/>
      </w:pPr>
      <w:rPr>
        <w:rFonts w:hint="default"/>
        <w:u w:val="none"/>
      </w:rPr>
    </w:lvl>
    <w:lvl w:ilvl="2">
      <w:start w:val="6"/>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04676"/>
    <w:multiLevelType w:val="multilevel"/>
    <w:tmpl w:val="CD8CEC4C"/>
    <w:lvl w:ilvl="0">
      <w:start w:val="6"/>
      <w:numFmt w:val="decimal"/>
      <w:lvlText w:val="%1."/>
      <w:lvlJc w:val="left"/>
      <w:pPr>
        <w:ind w:left="540" w:hanging="540"/>
      </w:pPr>
      <w:rPr>
        <w:rFonts w:hint="default"/>
        <w:u w:val="none"/>
      </w:rPr>
    </w:lvl>
    <w:lvl w:ilvl="1">
      <w:start w:val="1"/>
      <w:numFmt w:val="decimal"/>
      <w:lvlText w:val="%1.%2."/>
      <w:lvlJc w:val="left"/>
      <w:pPr>
        <w:ind w:left="965" w:hanging="540"/>
      </w:pPr>
      <w:rPr>
        <w:rFonts w:hint="default"/>
        <w:u w:val="none"/>
      </w:rPr>
    </w:lvl>
    <w:lvl w:ilvl="2">
      <w:start w:val="8"/>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A210CD5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D47B48"/>
    <w:multiLevelType w:val="multilevel"/>
    <w:tmpl w:val="7E9E086E"/>
    <w:lvl w:ilvl="0">
      <w:start w:val="3"/>
      <w:numFmt w:val="decimal"/>
      <w:lvlText w:val="%1."/>
      <w:lvlJc w:val="left"/>
      <w:pPr>
        <w:ind w:left="192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9E444E"/>
    <w:multiLevelType w:val="multilevel"/>
    <w:tmpl w:val="6B78342C"/>
    <w:lvl w:ilvl="0">
      <w:start w:val="6"/>
      <w:numFmt w:val="decimal"/>
      <w:lvlText w:val="%1."/>
      <w:lvlJc w:val="left"/>
      <w:pPr>
        <w:ind w:left="540" w:hanging="540"/>
      </w:pPr>
      <w:rPr>
        <w:rFonts w:hint="default"/>
        <w:u w:val="none"/>
      </w:rPr>
    </w:lvl>
    <w:lvl w:ilvl="1">
      <w:start w:val="1"/>
      <w:numFmt w:val="decimal"/>
      <w:lvlText w:val="%1.%2."/>
      <w:lvlJc w:val="left"/>
      <w:pPr>
        <w:ind w:left="965" w:hanging="540"/>
      </w:pPr>
      <w:rPr>
        <w:rFonts w:hint="default"/>
        <w:u w:val="none"/>
      </w:rPr>
    </w:lvl>
    <w:lvl w:ilvl="2">
      <w:start w:val="6"/>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904BDF"/>
    <w:multiLevelType w:val="multilevel"/>
    <w:tmpl w:val="CFD6F3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F9794F"/>
    <w:multiLevelType w:val="multilevel"/>
    <w:tmpl w:val="3070B1EC"/>
    <w:lvl w:ilvl="0">
      <w:start w:val="4"/>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3"/>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5"/>
  </w:num>
  <w:num w:numId="13" w16cid:durableId="593629820">
    <w:abstractNumId w:val="17"/>
  </w:num>
  <w:num w:numId="14" w16cid:durableId="1086878064">
    <w:abstractNumId w:val="23"/>
  </w:num>
  <w:num w:numId="15" w16cid:durableId="601766584">
    <w:abstractNumId w:val="27"/>
  </w:num>
  <w:num w:numId="16" w16cid:durableId="1876188991">
    <w:abstractNumId w:val="14"/>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5"/>
  </w:num>
  <w:num w:numId="23" w16cid:durableId="750396670">
    <w:abstractNumId w:val="10"/>
  </w:num>
  <w:num w:numId="24" w16cid:durableId="175846264">
    <w:abstractNumId w:val="11"/>
  </w:num>
  <w:num w:numId="25" w16cid:durableId="256329913">
    <w:abstractNumId w:val="21"/>
  </w:num>
  <w:num w:numId="26" w16cid:durableId="1789858266">
    <w:abstractNumId w:val="30"/>
  </w:num>
  <w:num w:numId="27" w16cid:durableId="494614562">
    <w:abstractNumId w:val="25"/>
  </w:num>
  <w:num w:numId="28" w16cid:durableId="1473055655">
    <w:abstractNumId w:val="29"/>
  </w:num>
  <w:num w:numId="29" w16cid:durableId="510532351">
    <w:abstractNumId w:val="0"/>
  </w:num>
  <w:num w:numId="30" w16cid:durableId="1866208320">
    <w:abstractNumId w:val="7"/>
  </w:num>
  <w:num w:numId="31" w16cid:durableId="1295065342">
    <w:abstractNumId w:val="6"/>
  </w:num>
  <w:num w:numId="32"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6"/>
  </w:num>
  <w:num w:numId="34" w16cid:durableId="155808418">
    <w:abstractNumId w:val="8"/>
  </w:num>
  <w:num w:numId="35" w16cid:durableId="63379397">
    <w:abstractNumId w:val="34"/>
  </w:num>
  <w:num w:numId="36" w16cid:durableId="1053307844">
    <w:abstractNumId w:val="2"/>
  </w:num>
  <w:num w:numId="37" w16cid:durableId="1095370030">
    <w:abstractNumId w:val="4"/>
  </w:num>
  <w:num w:numId="38" w16cid:durableId="2003435659">
    <w:abstractNumId w:val="26"/>
  </w:num>
  <w:num w:numId="39" w16cid:durableId="1801221309">
    <w:abstractNumId w:val="9"/>
  </w:num>
  <w:num w:numId="40" w16cid:durableId="1671830144">
    <w:abstractNumId w:val="1"/>
  </w:num>
  <w:num w:numId="41" w16cid:durableId="1616718379">
    <w:abstractNumId w:val="13"/>
  </w:num>
  <w:num w:numId="42" w16cid:durableId="606231761">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6EE"/>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6B0"/>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6DD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E25"/>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DAC"/>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1DD"/>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C06"/>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33"/>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DE7"/>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B0"/>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342"/>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5AA1"/>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5F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0C57"/>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073B"/>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A1E"/>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6966"/>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CDE"/>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9E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C9A"/>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5E6E"/>
    <w:rsid w:val="009465A0"/>
    <w:rsid w:val="00946722"/>
    <w:rsid w:val="0094787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5C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1DF2"/>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47E"/>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44"/>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483"/>
    <w:rsid w:val="00B64F95"/>
    <w:rsid w:val="00B6522C"/>
    <w:rsid w:val="00B65F97"/>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13B"/>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05B0"/>
    <w:rsid w:val="00BE180E"/>
    <w:rsid w:val="00BE1858"/>
    <w:rsid w:val="00BE190E"/>
    <w:rsid w:val="00BE2540"/>
    <w:rsid w:val="00BE2699"/>
    <w:rsid w:val="00BE26FA"/>
    <w:rsid w:val="00BE3B73"/>
    <w:rsid w:val="00BE3C0E"/>
    <w:rsid w:val="00BE598F"/>
    <w:rsid w:val="00BE6552"/>
    <w:rsid w:val="00BE7C72"/>
    <w:rsid w:val="00BF073D"/>
    <w:rsid w:val="00BF129F"/>
    <w:rsid w:val="00BF190E"/>
    <w:rsid w:val="00BF1959"/>
    <w:rsid w:val="00BF1D3B"/>
    <w:rsid w:val="00BF22F5"/>
    <w:rsid w:val="00BF2B58"/>
    <w:rsid w:val="00BF42AE"/>
    <w:rsid w:val="00BF4594"/>
    <w:rsid w:val="00BF5AEB"/>
    <w:rsid w:val="00BF6471"/>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68A2"/>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3D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5735"/>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26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96"/>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6F05"/>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4960"/>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648"/>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28194</Words>
  <Characters>16071</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19</cp:revision>
  <cp:lastPrinted>2024-05-16T09:52:00Z</cp:lastPrinted>
  <dcterms:created xsi:type="dcterms:W3CDTF">2025-10-31T03:43:00Z</dcterms:created>
  <dcterms:modified xsi:type="dcterms:W3CDTF">2025-10-31T12:54:00Z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