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3E8EDC07"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w:t>
          </w:r>
          <w:r w:rsidR="00D710E4">
            <w:rPr>
              <w:rFonts w:ascii="Times New Roman" w:hAnsi="Times New Roman"/>
              <w:sz w:val="24"/>
              <w:szCs w:val="24"/>
            </w:rPr>
            <w:t>__________</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0F3931B4"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D710E4">
            <w:rPr>
              <w:rFonts w:ascii="Times New Roman" w:hAnsi="Times New Roman"/>
              <w:sz w:val="24"/>
              <w:szCs w:val="24"/>
            </w:rPr>
            <w:t>__</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0EBD5C2" w14:textId="440B1224"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r w:rsidRPr="004766AC">
            <w:rPr>
              <w:rFonts w:ascii="Times New Roman" w:eastAsia="Times New Roman" w:hAnsi="Times New Roman" w:cs="Times New Roman"/>
              <w:b/>
              <w:bCs/>
              <w:sz w:val="28"/>
              <w:szCs w:val="28"/>
              <w:lang w:eastAsia="en-US"/>
            </w:rPr>
            <w:t>SUPAPRASTINTO ATVIRO KONKURSO BENDROSIOS PIRKIMO SĄLYGOS, VYKDOMO CVP IS PRIEMONĖMIS</w:t>
          </w:r>
        </w:p>
        <w:p w14:paraId="2A6D6EA9" w14:textId="77777777"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2BC5C05B" w14:textId="6A5E5E53"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sidRPr="004766AC">
            <w:rPr>
              <w:rFonts w:ascii="Times New Roman" w:eastAsia="Times New Roman" w:hAnsi="Times New Roman" w:cs="Times New Roman"/>
              <w:b/>
              <w:bCs/>
              <w:sz w:val="28"/>
              <w:szCs w:val="28"/>
              <w:lang w:eastAsia="en-US"/>
            </w:rPr>
            <w:t>GERIAMOJO VANDENS STEBĖSENOS</w:t>
          </w:r>
          <w:r>
            <w:rPr>
              <w:rFonts w:ascii="Times New Roman" w:eastAsia="Times New Roman" w:hAnsi="Times New Roman" w:cs="Times New Roman"/>
              <w:b/>
              <w:bCs/>
              <w:sz w:val="28"/>
              <w:szCs w:val="28"/>
              <w:lang w:eastAsia="en-US"/>
            </w:rPr>
            <w:t xml:space="preserve">, </w:t>
          </w:r>
          <w:r w:rsidRPr="004766AC">
            <w:rPr>
              <w:rFonts w:ascii="Times New Roman" w:eastAsia="Times New Roman" w:hAnsi="Times New Roman" w:cs="Times New Roman"/>
              <w:b/>
              <w:bCs/>
              <w:sz w:val="28"/>
              <w:szCs w:val="28"/>
              <w:lang w:eastAsia="en-US"/>
            </w:rPr>
            <w:t xml:space="preserve">POŽEMINIO VANDENS </w:t>
          </w:r>
          <w:r>
            <w:rPr>
              <w:rFonts w:ascii="Times New Roman" w:eastAsia="Times New Roman" w:hAnsi="Times New Roman" w:cs="Times New Roman"/>
              <w:b/>
              <w:bCs/>
              <w:sz w:val="28"/>
              <w:szCs w:val="28"/>
              <w:lang w:eastAsia="en-US"/>
            </w:rPr>
            <w:t>IR</w:t>
          </w:r>
          <w:r w:rsidRPr="004766AC">
            <w:rPr>
              <w:rFonts w:ascii="Times New Roman" w:eastAsia="Times New Roman" w:hAnsi="Times New Roman" w:cs="Times New Roman"/>
              <w:b/>
              <w:bCs/>
              <w:sz w:val="28"/>
              <w:szCs w:val="28"/>
              <w:lang w:eastAsia="en-US"/>
            </w:rPr>
            <w:t xml:space="preserve"> NUOTEKŲ DUMBLO IR DUMBLO KOMPOSTO LABORATORINIŲ TYRIMŲ ATLIKIMO PASLAUG</w:t>
          </w:r>
          <w:r>
            <w:rPr>
              <w:rFonts w:ascii="Times New Roman" w:eastAsia="Times New Roman" w:hAnsi="Times New Roman" w:cs="Times New Roman"/>
              <w:b/>
              <w:bCs/>
              <w:sz w:val="28"/>
              <w:szCs w:val="28"/>
              <w:lang w:eastAsia="en-US"/>
            </w:rPr>
            <w:t>Ų</w:t>
          </w:r>
          <w:r w:rsidRPr="004766AC">
            <w:rPr>
              <w:rFonts w:ascii="Times New Roman" w:eastAsia="Times New Roman" w:hAnsi="Times New Roman" w:cs="Times New Roman"/>
              <w:b/>
              <w:bCs/>
              <w:sz w:val="28"/>
              <w:szCs w:val="28"/>
              <w:lang w:eastAsia="en-US"/>
            </w:rPr>
            <w:t xml:space="preserve"> PIRKIMAS</w:t>
          </w:r>
          <w:r>
            <w:rPr>
              <w:rFonts w:ascii="Times New Roman" w:eastAsia="Times New Roman" w:hAnsi="Times New Roman" w:cs="Times New Roman"/>
              <w:b/>
              <w:bCs/>
              <w:sz w:val="28"/>
              <w:szCs w:val="28"/>
              <w:lang w:eastAsia="en-US"/>
            </w:rPr>
            <w:t>“</w:t>
          </w:r>
        </w:p>
        <w:p w14:paraId="7A210FF0" w14:textId="77777777" w:rsidR="004766AC" w:rsidRP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0E55D029" w14:textId="77777777" w:rsidR="004766AC" w:rsidRP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05DB708B"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705090F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2</w:t>
                </w:r>
                <w:r w:rsidR="009734A7" w:rsidRPr="009A1B2E">
                  <w:rPr>
                    <w:rFonts w:ascii="Times New Roman" w:hAnsi="Times New Roman" w:cs="Times New Roman"/>
                    <w:b w:val="0"/>
                    <w:bCs w:val="0"/>
                    <w:webHidden/>
                    <w:sz w:val="24"/>
                    <w:szCs w:val="24"/>
                  </w:rPr>
                  <w:fldChar w:fldCharType="end"/>
                </w:r>
              </w:hyperlink>
            </w:p>
            <w:p w14:paraId="780A8D63" w14:textId="1056A8B1"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7408BD6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356B244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2A2CDD8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5F92BD9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1480419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76C4C45C"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348484E6" w14:textId="2BD6F841"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73C65C0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73F7A76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49AAE129" w14:textId="4A31C12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3B8CACC0" w14:textId="62EBA75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ECC06D6" w14:textId="309BBB08"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42F055B" w14:textId="2E4C557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12A80EF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0272B72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0434364C" w14:textId="77777777" w:rsidR="00505613" w:rsidRPr="00262998" w:rsidRDefault="00505613"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6213A93F" w14:textId="77777777" w:rsidR="00505613" w:rsidRPr="009A1B2E" w:rsidRDefault="00505613" w:rsidP="00505613">
      <w:pPr>
        <w:pStyle w:val="Sraopastraipa"/>
        <w:numPr>
          <w:ilvl w:val="1"/>
          <w:numId w:val="1"/>
        </w:numPr>
        <w:tabs>
          <w:tab w:val="left" w:pos="1134"/>
        </w:tabs>
        <w:spacing w:after="0" w:line="240" w:lineRule="auto"/>
        <w:ind w:left="0" w:firstLine="680"/>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0E4AB7C3" w14:textId="77777777" w:rsidR="00DB7E29" w:rsidRPr="009A1B2E" w:rsidRDefault="00DB7E29"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05613">
      <w:pPr>
        <w:pStyle w:val="Sraopastraipa"/>
        <w:numPr>
          <w:ilvl w:val="1"/>
          <w:numId w:val="1"/>
        </w:numPr>
        <w:tabs>
          <w:tab w:val="left" w:pos="1134"/>
        </w:tabs>
        <w:spacing w:after="0" w:line="240" w:lineRule="auto"/>
        <w:ind w:left="0" w:firstLine="680"/>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AFE28E7" w14:textId="77777777" w:rsidR="00505613" w:rsidRDefault="003B1730"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59DC8638" w14:textId="77777777" w:rsidR="00505613" w:rsidRDefault="58ADB901"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Pirkimas</w:t>
      </w:r>
      <w:r w:rsidRPr="00505613">
        <w:rPr>
          <w:rFonts w:ascii="Times New Roman" w:hAnsi="Times New Roman" w:cs="Times New Roman"/>
          <w:sz w:val="24"/>
          <w:szCs w:val="24"/>
        </w:rPr>
        <w:t xml:space="preserve"> –</w:t>
      </w:r>
      <w:r w:rsidR="00262998" w:rsidRPr="00505613">
        <w:rPr>
          <w:rFonts w:ascii="Times New Roman" w:hAnsi="Times New Roman" w:cs="Times New Roman"/>
          <w:sz w:val="24"/>
          <w:szCs w:val="24"/>
        </w:rPr>
        <w:t xml:space="preserve"> </w:t>
      </w:r>
      <w:r w:rsidR="003B1730" w:rsidRPr="00505613">
        <w:rPr>
          <w:rFonts w:ascii="Times New Roman" w:hAnsi="Times New Roman" w:cs="Times New Roman"/>
          <w:sz w:val="24"/>
          <w:szCs w:val="24"/>
        </w:rPr>
        <w:t>perkančiojo subjekto</w:t>
      </w:r>
      <w:r w:rsidR="00C24598" w:rsidRPr="00505613">
        <w:rPr>
          <w:rFonts w:ascii="Times New Roman" w:hAnsi="Times New Roman" w:cs="Times New Roman"/>
          <w:sz w:val="24"/>
          <w:szCs w:val="24"/>
        </w:rPr>
        <w:t xml:space="preserve"> </w:t>
      </w:r>
      <w:r w:rsidR="1CD4B2F9" w:rsidRPr="00505613">
        <w:rPr>
          <w:rFonts w:ascii="Times New Roman" w:hAnsi="Times New Roman" w:cs="Times New Roman"/>
          <w:sz w:val="24"/>
          <w:szCs w:val="24"/>
        </w:rPr>
        <w:t xml:space="preserve">atliekamas </w:t>
      </w:r>
      <w:r w:rsidRPr="00505613">
        <w:rPr>
          <w:rFonts w:ascii="Times New Roman" w:hAnsi="Times New Roman" w:cs="Times New Roman"/>
          <w:sz w:val="24"/>
          <w:szCs w:val="24"/>
        </w:rPr>
        <w:t>viešasis pirkimas</w:t>
      </w:r>
      <w:r w:rsidR="2495E439" w:rsidRPr="00505613">
        <w:rPr>
          <w:rFonts w:ascii="Times New Roman" w:hAnsi="Times New Roman" w:cs="Times New Roman"/>
          <w:sz w:val="24"/>
          <w:szCs w:val="24"/>
        </w:rPr>
        <w:t>.</w:t>
      </w:r>
    </w:p>
    <w:p w14:paraId="7E9C4A93" w14:textId="77777777" w:rsidR="00505613" w:rsidRDefault="00DA081B"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Prelim</w:t>
      </w:r>
      <w:r w:rsidR="009A2FA8" w:rsidRPr="00505613">
        <w:rPr>
          <w:rFonts w:ascii="Times New Roman" w:hAnsi="Times New Roman" w:cs="Times New Roman"/>
          <w:b/>
          <w:bCs/>
          <w:sz w:val="24"/>
          <w:szCs w:val="24"/>
        </w:rPr>
        <w:t>inarioji sutartis</w:t>
      </w:r>
      <w:r w:rsidR="009A2FA8" w:rsidRPr="00505613">
        <w:rPr>
          <w:rFonts w:ascii="Times New Roman" w:hAnsi="Times New Roman" w:cs="Times New Roman"/>
          <w:sz w:val="24"/>
          <w:szCs w:val="24"/>
        </w:rPr>
        <w:t xml:space="preserve"> - </w:t>
      </w:r>
      <w:r w:rsidR="003F2DD1" w:rsidRPr="00505613">
        <w:rPr>
          <w:rFonts w:ascii="Times New Roman" w:hAnsi="Times New Roman" w:cs="Times New Roman"/>
          <w:sz w:val="24"/>
          <w:szCs w:val="24"/>
        </w:rPr>
        <w:t xml:space="preserve">preliminarioji viešojo pirkimo-pardavimo sutartis (jei taikoma), vieno ar kelių </w:t>
      </w:r>
      <w:r w:rsidR="003B1730" w:rsidRPr="00505613">
        <w:rPr>
          <w:rFonts w:ascii="Times New Roman" w:hAnsi="Times New Roman" w:cs="Times New Roman"/>
          <w:sz w:val="24"/>
          <w:szCs w:val="24"/>
        </w:rPr>
        <w:t>perkančiųjų subjektų</w:t>
      </w:r>
      <w:r w:rsidR="003F2DD1" w:rsidRPr="00505613">
        <w:rPr>
          <w:rFonts w:ascii="Times New Roman" w:hAnsi="Times New Roman" w:cs="Times New Roman"/>
          <w:sz w:val="24"/>
          <w:szCs w:val="24"/>
        </w:rPr>
        <w:t xml:space="preserve"> ir vieno ar kelių tiekėjų sudaryta sutartis</w:t>
      </w:r>
      <w:r w:rsidR="003E3986" w:rsidRPr="00505613">
        <w:rPr>
          <w:rFonts w:ascii="Times New Roman" w:hAnsi="Times New Roman" w:cs="Times New Roman"/>
          <w:sz w:val="24"/>
          <w:szCs w:val="24"/>
        </w:rPr>
        <w:t>, kurios tikslas – nustatyti sąlygas, įskaitant kainą ir, kur to reikia, numatomą kiekį, taikomas viešojo pirkimo–pardavimo sutartims,</w:t>
      </w:r>
      <w:r w:rsidR="00392973" w:rsidRPr="00505613">
        <w:rPr>
          <w:rFonts w:ascii="Times New Roman" w:hAnsi="Times New Roman" w:cs="Times New Roman"/>
          <w:sz w:val="24"/>
          <w:szCs w:val="24"/>
        </w:rPr>
        <w:t xml:space="preserve"> </w:t>
      </w:r>
      <w:r w:rsidR="00091D11" w:rsidRPr="00505613">
        <w:rPr>
          <w:rFonts w:ascii="Times New Roman" w:hAnsi="Times New Roman" w:cs="Times New Roman"/>
          <w:sz w:val="24"/>
          <w:szCs w:val="24"/>
        </w:rPr>
        <w:t>kurios bus sudarytos per tam tikrą nurodytą laikotarpį.</w:t>
      </w:r>
    </w:p>
    <w:p w14:paraId="7D5AA091" w14:textId="77777777" w:rsidR="00505613" w:rsidRDefault="00DB667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 xml:space="preserve">PVM </w:t>
      </w:r>
      <w:r w:rsidRPr="00505613">
        <w:rPr>
          <w:rFonts w:ascii="Times New Roman" w:hAnsi="Times New Roman" w:cs="Times New Roman"/>
          <w:sz w:val="24"/>
          <w:szCs w:val="24"/>
        </w:rPr>
        <w:t xml:space="preserve">– pridėtinės vertės mokestis. </w:t>
      </w:r>
    </w:p>
    <w:p w14:paraId="1F5AC548" w14:textId="77777777" w:rsidR="00C93A71" w:rsidRDefault="00E01599"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Skelbimas</w:t>
      </w:r>
      <w:r w:rsidRPr="00505613">
        <w:rPr>
          <w:rFonts w:ascii="Times New Roman" w:hAnsi="Times New Roman" w:cs="Times New Roman"/>
          <w:sz w:val="24"/>
          <w:szCs w:val="24"/>
        </w:rPr>
        <w:t xml:space="preserve"> – skelbimas apie </w:t>
      </w:r>
      <w:r w:rsidR="00B21AC5" w:rsidRPr="00505613">
        <w:rPr>
          <w:rFonts w:ascii="Times New Roman" w:hAnsi="Times New Roman" w:cs="Times New Roman"/>
          <w:sz w:val="24"/>
          <w:szCs w:val="24"/>
        </w:rPr>
        <w:t>p</w:t>
      </w:r>
      <w:r w:rsidRPr="00505613">
        <w:rPr>
          <w:rFonts w:ascii="Times New Roman" w:hAnsi="Times New Roman" w:cs="Times New Roman"/>
          <w:sz w:val="24"/>
          <w:szCs w:val="24"/>
        </w:rPr>
        <w:t>irkimą.</w:t>
      </w:r>
    </w:p>
    <w:p w14:paraId="3E8DC002" w14:textId="77777777" w:rsidR="00C93A71" w:rsidRPr="00C93A71" w:rsidRDefault="003E0FEA"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Subtiekėjas </w:t>
      </w:r>
      <w:r w:rsidRPr="00C93A71">
        <w:rPr>
          <w:rFonts w:ascii="Times New Roman" w:hAnsi="Times New Roman" w:cs="Times New Roman"/>
          <w:sz w:val="24"/>
          <w:szCs w:val="24"/>
        </w:rPr>
        <w:t xml:space="preserve">– </w:t>
      </w:r>
      <w:r w:rsidR="00730E57" w:rsidRPr="00C93A71">
        <w:rPr>
          <w:rFonts w:ascii="Times New Roman" w:hAnsi="Times New Roman" w:cs="Times New Roman"/>
          <w:sz w:val="24"/>
          <w:szCs w:val="24"/>
        </w:rPr>
        <w:t xml:space="preserve">subtiekėjas, subteikėjas, subrangovas, fizinis ar juridinis asmuo, kuris faktiškai vykdys numatomą sudaryti </w:t>
      </w:r>
      <w:r w:rsidR="00F83AC6" w:rsidRPr="00C93A71">
        <w:rPr>
          <w:rFonts w:ascii="Times New Roman" w:hAnsi="Times New Roman" w:cs="Times New Roman"/>
          <w:sz w:val="24"/>
          <w:szCs w:val="24"/>
        </w:rPr>
        <w:t>s</w:t>
      </w:r>
      <w:r w:rsidR="00730E57" w:rsidRPr="00C93A71">
        <w:rPr>
          <w:rFonts w:ascii="Times New Roman" w:hAnsi="Times New Roman" w:cs="Times New Roman"/>
          <w:sz w:val="24"/>
          <w:szCs w:val="24"/>
        </w:rPr>
        <w:t>utartį ar jos dalį</w:t>
      </w:r>
      <w:r w:rsidR="00392973" w:rsidRPr="00C93A71">
        <w:rPr>
          <w:rFonts w:ascii="Times New Roman" w:hAnsi="Times New Roman" w:cs="Times New Roman"/>
          <w:sz w:val="24"/>
          <w:szCs w:val="24"/>
        </w:rPr>
        <w:t xml:space="preserve"> </w:t>
      </w:r>
      <w:r w:rsidR="00730E57" w:rsidRPr="00C93A71">
        <w:rPr>
          <w:rFonts w:ascii="Times New Roman" w:hAnsi="Times New Roman" w:cs="Times New Roman"/>
          <w:sz w:val="24"/>
          <w:szCs w:val="24"/>
        </w:rPr>
        <w:t>ir kurio kvalifikacija tiekėjas nesiremia pagal VPĮ 49 straipsnį, kad atitiktų kvalifikacijos reikalavimus. Subtiekėjais</w:t>
      </w:r>
      <w:r w:rsidR="00730E57" w:rsidRPr="00C93A71">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C93A71">
        <w:rPr>
          <w:rFonts w:ascii="Times New Roman" w:eastAsia="Calibri" w:hAnsi="Times New Roman" w:cs="Times New Roman"/>
          <w:sz w:val="24"/>
          <w:szCs w:val="24"/>
        </w:rPr>
        <w:t>s</w:t>
      </w:r>
      <w:r w:rsidR="00730E57" w:rsidRPr="00C93A71">
        <w:rPr>
          <w:rFonts w:ascii="Times New Roman" w:eastAsia="Calibri" w:hAnsi="Times New Roman" w:cs="Times New Roman"/>
          <w:sz w:val="24"/>
          <w:szCs w:val="24"/>
        </w:rPr>
        <w:t>utarties ar jos dalies.</w:t>
      </w:r>
    </w:p>
    <w:p w14:paraId="23748579" w14:textId="77777777" w:rsidR="00C93A71" w:rsidRDefault="4710FB46"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Sutartis </w:t>
      </w:r>
      <w:r w:rsidRPr="00C93A71">
        <w:rPr>
          <w:rFonts w:ascii="Times New Roman" w:hAnsi="Times New Roman" w:cs="Times New Roman"/>
          <w:sz w:val="24"/>
          <w:szCs w:val="24"/>
        </w:rPr>
        <w:t>– viešojo pirkimo-pardavimo sutartis</w:t>
      </w:r>
      <w:r w:rsidR="00770DDA" w:rsidRPr="00C93A71">
        <w:rPr>
          <w:rFonts w:ascii="Times New Roman" w:hAnsi="Times New Roman" w:cs="Times New Roman"/>
          <w:sz w:val="24"/>
          <w:szCs w:val="24"/>
        </w:rPr>
        <w:t xml:space="preserve"> ar preliminarioji sutartis, kaip nustatyta 1.</w:t>
      </w:r>
      <w:r w:rsidR="0022595E" w:rsidRPr="00C93A71">
        <w:rPr>
          <w:rFonts w:ascii="Times New Roman" w:hAnsi="Times New Roman" w:cs="Times New Roman"/>
          <w:sz w:val="24"/>
          <w:szCs w:val="24"/>
        </w:rPr>
        <w:t>10</w:t>
      </w:r>
      <w:r w:rsidR="00770DDA" w:rsidRPr="00C93A71">
        <w:rPr>
          <w:rFonts w:ascii="Times New Roman" w:hAnsi="Times New Roman" w:cs="Times New Roman"/>
          <w:sz w:val="24"/>
          <w:szCs w:val="24"/>
        </w:rPr>
        <w:t xml:space="preserve"> punkte, kai viešojo pirkimo sutarčiai ir preliminariajai sutarčiai PĮ nustatytas vienodas reglamentavimas.</w:t>
      </w:r>
    </w:p>
    <w:p w14:paraId="68D3D210" w14:textId="77777777" w:rsidR="00C93A71" w:rsidRDefault="001A20D1"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Tiekėjas </w:t>
      </w:r>
      <w:r w:rsidRPr="00C93A71">
        <w:rPr>
          <w:rFonts w:ascii="Times New Roman" w:hAnsi="Times New Roman" w:cs="Times New Roman"/>
          <w:sz w:val="24"/>
          <w:szCs w:val="24"/>
        </w:rPr>
        <w:t>–</w:t>
      </w:r>
      <w:r w:rsidR="00262998" w:rsidRPr="00C93A71">
        <w:rPr>
          <w:rFonts w:ascii="Times New Roman" w:hAnsi="Times New Roman" w:cs="Times New Roman"/>
          <w:sz w:val="24"/>
          <w:szCs w:val="24"/>
        </w:rPr>
        <w:t xml:space="preserve"> </w:t>
      </w:r>
      <w:r w:rsidRPr="00C93A71">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5D1853F" w14:textId="77777777" w:rsidR="00C93A71" w:rsidRDefault="00D777A5"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sz w:val="24"/>
          <w:szCs w:val="24"/>
        </w:rPr>
        <w:t xml:space="preserve">Ūkio subjektas, kurio pajėgumais remiamasi </w:t>
      </w:r>
      <w:r w:rsidRPr="00C93A71">
        <w:rPr>
          <w:rFonts w:ascii="Times New Roman" w:hAnsi="Times New Roman" w:cs="Times New Roman"/>
          <w:sz w:val="24"/>
          <w:szCs w:val="24"/>
        </w:rPr>
        <w:t xml:space="preserve">– fizinis ar juridinis asmuo, kurio </w:t>
      </w:r>
      <w:r w:rsidRPr="00C93A71">
        <w:rPr>
          <w:rFonts w:ascii="Times New Roman" w:eastAsia="Calibri" w:hAnsi="Times New Roman" w:cs="Times New Roman"/>
          <w:sz w:val="24"/>
          <w:szCs w:val="24"/>
        </w:rPr>
        <w:t xml:space="preserve">pajėgumais tiekėjas remiasi pagal PĮ </w:t>
      </w:r>
      <w:r w:rsidR="003B1730" w:rsidRPr="00C93A71">
        <w:rPr>
          <w:rFonts w:ascii="Times New Roman" w:eastAsia="Calibri" w:hAnsi="Times New Roman" w:cs="Times New Roman"/>
          <w:sz w:val="24"/>
          <w:szCs w:val="24"/>
        </w:rPr>
        <w:t>62</w:t>
      </w:r>
      <w:r w:rsidRPr="00C93A71">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sidRPr="00C93A71">
        <w:rPr>
          <w:rFonts w:ascii="Times New Roman" w:eastAsia="Calibri" w:hAnsi="Times New Roman" w:cs="Times New Roman"/>
          <w:sz w:val="24"/>
          <w:szCs w:val="24"/>
        </w:rPr>
        <w:t>62</w:t>
      </w:r>
      <w:r w:rsidRPr="00C93A71">
        <w:rPr>
          <w:rFonts w:ascii="Times New Roman" w:eastAsia="Calibri" w:hAnsi="Times New Roman" w:cs="Times New Roman"/>
          <w:sz w:val="24"/>
          <w:szCs w:val="24"/>
        </w:rPr>
        <w:t xml:space="preserve"> straipsnį,</w:t>
      </w:r>
      <w:r w:rsidRPr="00C93A71">
        <w:rPr>
          <w:rFonts w:ascii="Times New Roman" w:hAnsi="Times New Roman" w:cs="Times New Roman"/>
          <w:sz w:val="24"/>
          <w:szCs w:val="24"/>
        </w:rPr>
        <w:t xml:space="preserve"> kad atitiktų </w:t>
      </w:r>
      <w:r w:rsidR="003B1730" w:rsidRPr="00C93A71">
        <w:rPr>
          <w:rFonts w:ascii="Times New Roman" w:hAnsi="Times New Roman" w:cs="Times New Roman"/>
          <w:sz w:val="24"/>
          <w:szCs w:val="24"/>
        </w:rPr>
        <w:t>perkančiojo subjekto</w:t>
      </w:r>
      <w:r w:rsidRPr="00C93A71">
        <w:rPr>
          <w:rFonts w:ascii="Times New Roman" w:hAnsi="Times New Roman" w:cs="Times New Roman"/>
          <w:sz w:val="24"/>
          <w:szCs w:val="24"/>
        </w:rPr>
        <w:t xml:space="preserve"> keliamus kvalifikacijos reikalavimus.</w:t>
      </w:r>
    </w:p>
    <w:p w14:paraId="46835115" w14:textId="77777777" w:rsidR="00C93A71" w:rsidRDefault="002E4B54"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proofErr w:type="spellStart"/>
      <w:r w:rsidRPr="00C93A71">
        <w:rPr>
          <w:rFonts w:ascii="Times New Roman" w:hAnsi="Times New Roman" w:cs="Times New Roman"/>
          <w:b/>
          <w:sz w:val="24"/>
          <w:szCs w:val="24"/>
        </w:rPr>
        <w:t>Kvazisubtiekėjas</w:t>
      </w:r>
      <w:proofErr w:type="spellEnd"/>
      <w:r w:rsidR="00262998" w:rsidRPr="00C93A71">
        <w:rPr>
          <w:rFonts w:ascii="Times New Roman" w:hAnsi="Times New Roman" w:cs="Times New Roman"/>
          <w:b/>
          <w:sz w:val="24"/>
          <w:szCs w:val="24"/>
        </w:rPr>
        <w:t xml:space="preserve"> </w:t>
      </w:r>
      <w:r w:rsidRPr="00C93A71">
        <w:rPr>
          <w:rFonts w:ascii="Times New Roman" w:hAnsi="Times New Roman" w:cs="Times New Roman"/>
          <w:sz w:val="24"/>
          <w:szCs w:val="24"/>
        </w:rPr>
        <w:t>–</w:t>
      </w:r>
      <w:r w:rsidR="00262998" w:rsidRPr="00C93A71">
        <w:rPr>
          <w:rFonts w:ascii="Times New Roman" w:hAnsi="Times New Roman" w:cs="Times New Roman"/>
          <w:sz w:val="24"/>
          <w:szCs w:val="24"/>
        </w:rPr>
        <w:t xml:space="preserve"> </w:t>
      </w:r>
      <w:r w:rsidRPr="00C93A71">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D1D418B" w14:textId="62753BC8" w:rsidR="00505613" w:rsidRPr="00C93A71" w:rsidRDefault="00505613"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heme="minorHAnsi"/>
          <w:sz w:val="24"/>
        </w:rPr>
        <w:t xml:space="preserve">Kitos pirkimo dokumentuose vartojamos sąvokos atitinka </w:t>
      </w:r>
      <w:r w:rsidRPr="00C93A71">
        <w:rPr>
          <w:rFonts w:ascii="Times New Roman" w:eastAsia="Calibri" w:hAnsi="Times New Roman" w:cstheme="minorHAnsi"/>
          <w:sz w:val="24"/>
        </w:rPr>
        <w:t xml:space="preserve">PĮ </w:t>
      </w:r>
      <w:r w:rsidRPr="00C93A71">
        <w:rPr>
          <w:rFonts w:ascii="Times New Roman" w:eastAsia="Calibri" w:hAnsi="Times New Roman" w:cstheme="minorHAnsi"/>
          <w:i/>
          <w:iCs/>
          <w:color w:val="0070C0"/>
          <w:sz w:val="24"/>
        </w:rPr>
        <w:t xml:space="preserve"> </w:t>
      </w:r>
      <w:r w:rsidRPr="00C93A71">
        <w:rPr>
          <w:rFonts w:ascii="Times New Roman" w:eastAsia="Calibri" w:hAnsi="Times New Roman" w:cstheme="minorHAnsi"/>
          <w:sz w:val="24"/>
        </w:rPr>
        <w:t>vartojamas sąvokas.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t>Bendrosios nuostatos</w:t>
      </w:r>
      <w:bookmarkEnd w:id="3"/>
    </w:p>
    <w:p w14:paraId="2D29B9C1" w14:textId="77777777" w:rsidR="00505613" w:rsidRPr="00363AD7" w:rsidRDefault="00505613" w:rsidP="00C93A71">
      <w:pPr>
        <w:pStyle w:val="Sraopastraipa"/>
        <w:numPr>
          <w:ilvl w:val="1"/>
          <w:numId w:val="5"/>
        </w:numPr>
        <w:tabs>
          <w:tab w:val="left" w:pos="1134"/>
        </w:tabs>
        <w:spacing w:after="0" w:line="20" w:lineRule="atLeast"/>
        <w:ind w:left="0" w:firstLine="680"/>
        <w:jc w:val="both"/>
        <w:rPr>
          <w:rFonts w:ascii="Times New Roman" w:eastAsia="Calibri" w:hAnsi="Times New Roman"/>
          <w:sz w:val="24"/>
        </w:rPr>
      </w:pPr>
      <w:r w:rsidRPr="00363AD7">
        <w:rPr>
          <w:rFonts w:ascii="Times New Roman" w:eastAsia="Calibri" w:hAnsi="Times New Roman"/>
          <w:sz w:val="24"/>
        </w:rPr>
        <w:t>Perkantysis subjektas kviečia tiekėjus dalyvauti pirkime, atliekamame supaprastinto atviro konkurso būdu, siekiant įsigyti pirkimo objektą,</w:t>
      </w:r>
      <w:r w:rsidRPr="00363AD7">
        <w:rPr>
          <w:rFonts w:ascii="Times New Roman" w:eastAsia="Calibri" w:hAnsi="Times New Roman"/>
          <w:color w:val="00B050"/>
          <w:sz w:val="24"/>
        </w:rPr>
        <w:t xml:space="preserve"> </w:t>
      </w:r>
      <w:r w:rsidRPr="00363AD7">
        <w:rPr>
          <w:rFonts w:ascii="Times New Roman" w:eastAsia="Calibri" w:hAnsi="Times New Roman"/>
          <w:sz w:val="24"/>
        </w:rPr>
        <w:t xml:space="preserve">kurio techninė specifikacija pateikta specialiųjų pirkimo sąlygų priede. </w:t>
      </w:r>
    </w:p>
    <w:p w14:paraId="54163C3B" w14:textId="77777777" w:rsidR="00C44337" w:rsidRPr="00C44337" w:rsidRDefault="00505613" w:rsidP="00C93A71">
      <w:pPr>
        <w:pStyle w:val="Sraopastraipa"/>
        <w:numPr>
          <w:ilvl w:val="1"/>
          <w:numId w:val="5"/>
        </w:numPr>
        <w:spacing w:after="0" w:line="240" w:lineRule="auto"/>
        <w:ind w:left="0" w:firstLine="680"/>
        <w:jc w:val="both"/>
        <w:rPr>
          <w:rFonts w:ascii="Times New Roman" w:eastAsia="Calibri" w:hAnsi="Times New Roman" w:cs="Times New Roman"/>
          <w:sz w:val="24"/>
          <w:szCs w:val="24"/>
        </w:rPr>
      </w:pPr>
      <w:r w:rsidRPr="00363AD7">
        <w:rPr>
          <w:rFonts w:ascii="Times New Roman" w:hAnsi="Times New Roman"/>
          <w:sz w:val="24"/>
        </w:rPr>
        <w:lastRenderedPageBreak/>
        <w:t>Pirkimas vykdomas CVP IS priemonėmis, vadovaujantis PĮ, CK, kitais viešuosius pirkimus ir šio pirkimo sutarties</w:t>
      </w:r>
      <w:r w:rsidRPr="00363AD7">
        <w:rPr>
          <w:rStyle w:val="Komentaronuoroda"/>
          <w:rFonts w:ascii="Times New Roman" w:hAnsi="Times New Roman"/>
          <w:sz w:val="24"/>
        </w:rPr>
        <w:t xml:space="preserve"> </w:t>
      </w:r>
      <w:r w:rsidRPr="00363AD7">
        <w:rPr>
          <w:rFonts w:ascii="Times New Roman" w:hAnsi="Times New Roman"/>
          <w:sz w:val="24"/>
        </w:rPr>
        <w:t>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r w:rsidR="00C93A71">
        <w:rPr>
          <w:rFonts w:ascii="Times New Roman" w:hAnsi="Times New Roman"/>
          <w:sz w:val="24"/>
        </w:rPr>
        <w:t xml:space="preserve"> </w:t>
      </w:r>
    </w:p>
    <w:p w14:paraId="3FE9D9B1" w14:textId="564299E1" w:rsidR="00D05666" w:rsidRPr="009A1B2E" w:rsidRDefault="00D05666" w:rsidP="00C93A71">
      <w:pPr>
        <w:pStyle w:val="Sraopastraipa"/>
        <w:numPr>
          <w:ilvl w:val="1"/>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C93A71">
      <w:pPr>
        <w:pStyle w:val="Sraopastraipa"/>
        <w:numPr>
          <w:ilvl w:val="2"/>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C93A71">
      <w:pPr>
        <w:pStyle w:val="Sraopastraipa"/>
        <w:numPr>
          <w:ilvl w:val="2"/>
          <w:numId w:val="5"/>
        </w:numPr>
        <w:spacing w:after="0" w:line="240" w:lineRule="auto"/>
        <w:ind w:left="0" w:firstLine="680"/>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C93A71">
      <w:pPr>
        <w:pStyle w:val="Sraopastraipa"/>
        <w:numPr>
          <w:ilvl w:val="3"/>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 xml:space="preserve">irkimo vykdytojai </w:t>
      </w:r>
      <w:r w:rsidR="71F6CB06" w:rsidRPr="009A1B2E">
        <w:rPr>
          <w:rFonts w:ascii="Times New Roman" w:hAnsi="Times New Roman" w:cs="Times New Roman"/>
          <w:i/>
          <w:iCs/>
          <w:sz w:val="24"/>
          <w:szCs w:val="24"/>
          <w:shd w:val="clear" w:color="auto" w:fill="FFFFFF"/>
        </w:rPr>
        <w:lastRenderedPageBreak/>
        <w:t>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lastRenderedPageBreak/>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w:t>
      </w:r>
      <w:r w:rsidRPr="009A1B2E">
        <w:rPr>
          <w:rFonts w:ascii="Times New Roman" w:eastAsia="Times New Roman" w:hAnsi="Times New Roman" w:cs="Times New Roman"/>
          <w:sz w:val="24"/>
          <w:szCs w:val="24"/>
        </w:rPr>
        <w:lastRenderedPageBreak/>
        <w:t xml:space="preserve">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Viešųjų pirkimų 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lastRenderedPageBreak/>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w:t>
      </w:r>
      <w:r w:rsidR="004D24B9" w:rsidRPr="009A1B2E">
        <w:rPr>
          <w:rStyle w:val="normaltextrun"/>
          <w:rFonts w:ascii="Times New Roman" w:hAnsi="Times New Roman" w:cs="Times New Roman"/>
          <w:sz w:val="24"/>
          <w:szCs w:val="24"/>
          <w:shd w:val="clear" w:color="auto" w:fill="FFFFFF"/>
        </w:rPr>
        <w:lastRenderedPageBreak/>
        <w:t xml:space="preserve">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0281" w14:textId="77777777" w:rsidR="00872971" w:rsidRDefault="00872971" w:rsidP="00D05666">
      <w:r>
        <w:separator/>
      </w:r>
    </w:p>
  </w:endnote>
  <w:endnote w:type="continuationSeparator" w:id="0">
    <w:p w14:paraId="7D91A845" w14:textId="77777777" w:rsidR="00872971" w:rsidRDefault="00872971" w:rsidP="00D05666">
      <w:r>
        <w:continuationSeparator/>
      </w:r>
    </w:p>
  </w:endnote>
  <w:endnote w:type="continuationNotice" w:id="1">
    <w:p w14:paraId="5F9C05EF" w14:textId="77777777" w:rsidR="00872971" w:rsidRDefault="00872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691D" w14:textId="77777777" w:rsidR="00872971" w:rsidRDefault="00872971" w:rsidP="00D05666">
      <w:r>
        <w:separator/>
      </w:r>
    </w:p>
  </w:footnote>
  <w:footnote w:type="continuationSeparator" w:id="0">
    <w:p w14:paraId="451F3B42" w14:textId="77777777" w:rsidR="00872971" w:rsidRDefault="00872971" w:rsidP="00D05666">
      <w:r>
        <w:continuationSeparator/>
      </w:r>
    </w:p>
  </w:footnote>
  <w:footnote w:type="continuationNotice" w:id="1">
    <w:p w14:paraId="2D460BF1" w14:textId="77777777" w:rsidR="00872971" w:rsidRDefault="00872971">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D41CB57C"/>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10"/>
  </w:num>
  <w:num w:numId="2" w16cid:durableId="1158184236">
    <w:abstractNumId w:val="2"/>
  </w:num>
  <w:num w:numId="3" w16cid:durableId="937106156">
    <w:abstractNumId w:val="7"/>
  </w:num>
  <w:num w:numId="4" w16cid:durableId="1588272285">
    <w:abstractNumId w:val="21"/>
  </w:num>
  <w:num w:numId="5" w16cid:durableId="446119849">
    <w:abstractNumId w:val="16"/>
  </w:num>
  <w:num w:numId="6" w16cid:durableId="1124733938">
    <w:abstractNumId w:val="13"/>
  </w:num>
  <w:num w:numId="7" w16cid:durableId="25757531">
    <w:abstractNumId w:val="15"/>
  </w:num>
  <w:num w:numId="8" w16cid:durableId="1837257840">
    <w:abstractNumId w:val="0"/>
  </w:num>
  <w:num w:numId="9" w16cid:durableId="154420801">
    <w:abstractNumId w:val="11"/>
  </w:num>
  <w:num w:numId="10" w16cid:durableId="1632242741">
    <w:abstractNumId w:val="23"/>
  </w:num>
  <w:num w:numId="11" w16cid:durableId="1222980574">
    <w:abstractNumId w:val="28"/>
  </w:num>
  <w:num w:numId="12" w16cid:durableId="760949157">
    <w:abstractNumId w:val="30"/>
  </w:num>
  <w:num w:numId="13" w16cid:durableId="1942252848">
    <w:abstractNumId w:val="31"/>
  </w:num>
  <w:num w:numId="14" w16cid:durableId="542451134">
    <w:abstractNumId w:val="29"/>
  </w:num>
  <w:num w:numId="15" w16cid:durableId="1068188036">
    <w:abstractNumId w:val="27"/>
  </w:num>
  <w:num w:numId="16" w16cid:durableId="2030258251">
    <w:abstractNumId w:val="9"/>
  </w:num>
  <w:num w:numId="17" w16cid:durableId="1572622401">
    <w:abstractNumId w:val="6"/>
  </w:num>
  <w:num w:numId="18" w16cid:durableId="961158023">
    <w:abstractNumId w:val="1"/>
  </w:num>
  <w:num w:numId="19" w16cid:durableId="531767848">
    <w:abstractNumId w:val="19"/>
  </w:num>
  <w:num w:numId="20" w16cid:durableId="2101439449">
    <w:abstractNumId w:val="17"/>
  </w:num>
  <w:num w:numId="21" w16cid:durableId="1619677707">
    <w:abstractNumId w:val="22"/>
  </w:num>
  <w:num w:numId="22" w16cid:durableId="287856902">
    <w:abstractNumId w:val="3"/>
  </w:num>
  <w:num w:numId="23" w16cid:durableId="1782987697">
    <w:abstractNumId w:val="26"/>
  </w:num>
  <w:num w:numId="24" w16cid:durableId="1258559222">
    <w:abstractNumId w:val="18"/>
  </w:num>
  <w:num w:numId="25" w16cid:durableId="2144763789">
    <w:abstractNumId w:val="25"/>
  </w:num>
  <w:num w:numId="26" w16cid:durableId="683095198">
    <w:abstractNumId w:val="24"/>
  </w:num>
  <w:num w:numId="27" w16cid:durableId="766736259">
    <w:abstractNumId w:val="20"/>
  </w:num>
  <w:num w:numId="28" w16cid:durableId="1304775207">
    <w:abstractNumId w:val="8"/>
  </w:num>
  <w:num w:numId="29" w16cid:durableId="1360551639">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2"/>
  </w:num>
  <w:num w:numId="32" w16cid:durableId="11917236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3FB4"/>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56"/>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B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53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AC"/>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59C3"/>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613"/>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4C0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0E8"/>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971"/>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06"/>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892"/>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337"/>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580D"/>
    <w:rsid w:val="00C86519"/>
    <w:rsid w:val="00C86961"/>
    <w:rsid w:val="00C86C0E"/>
    <w:rsid w:val="00C874A0"/>
    <w:rsid w:val="00C87E49"/>
    <w:rsid w:val="00C906F5"/>
    <w:rsid w:val="00C90917"/>
    <w:rsid w:val="00C90E94"/>
    <w:rsid w:val="00C91381"/>
    <w:rsid w:val="00C913A1"/>
    <w:rsid w:val="00C91D8B"/>
    <w:rsid w:val="00C920EE"/>
    <w:rsid w:val="00C92203"/>
    <w:rsid w:val="00C92363"/>
    <w:rsid w:val="00C92AA5"/>
    <w:rsid w:val="00C93090"/>
    <w:rsid w:val="00C93240"/>
    <w:rsid w:val="00C93A71"/>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0E4"/>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94F"/>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7633</Words>
  <Characters>43513</Characters>
  <Application>Microsoft Office Word</Application>
  <DocSecurity>0</DocSecurity>
  <Lines>362</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51044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2</cp:revision>
  <cp:lastPrinted>2025-10-07T05:39:00Z</cp:lastPrinted>
  <dcterms:created xsi:type="dcterms:W3CDTF">2025-11-03T12:32:00Z</dcterms:created>
  <dcterms:modified xsi:type="dcterms:W3CDTF">2025-11-03T12:32:00Z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