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27ACE3A" w14:textId="10884C56" w:rsidR="00384C3D" w:rsidRDefault="00710EB6" w:rsidP="00710EB6">
      <w:pPr>
        <w:pStyle w:val="Body2"/>
        <w:jc w:val="center"/>
        <w:rPr>
          <w:b/>
          <w:bCs/>
          <w:caps/>
          <w:color w:val="000000" w:themeColor="text1"/>
          <w:spacing w:val="4"/>
          <w:lang w:val="lt-LT"/>
        </w:rPr>
      </w:pPr>
      <w:r w:rsidRPr="00710EB6">
        <w:rPr>
          <w:b/>
          <w:bCs/>
          <w:caps/>
          <w:color w:val="000000" w:themeColor="text1"/>
          <w:spacing w:val="4"/>
          <w:lang w:val="lt-LT"/>
        </w:rPr>
        <w:t>Vidaus du</w:t>
      </w:r>
      <w:r w:rsidR="00C71F64">
        <w:rPr>
          <w:b/>
          <w:bCs/>
          <w:caps/>
          <w:color w:val="000000" w:themeColor="text1"/>
          <w:spacing w:val="4"/>
          <w:lang w:val="lt-LT"/>
        </w:rPr>
        <w:t>RYS</w:t>
      </w:r>
    </w:p>
    <w:p w14:paraId="2685FA1B" w14:textId="77777777" w:rsidR="00710EB6" w:rsidRPr="00384C3D" w:rsidRDefault="00710EB6" w:rsidP="00710EB6">
      <w:pPr>
        <w:pStyle w:val="Body2"/>
        <w:jc w:val="center"/>
        <w:rPr>
          <w:lang w:val="lt-LT"/>
        </w:rPr>
      </w:pPr>
    </w:p>
    <w:p w14:paraId="388AA4C5" w14:textId="77777777" w:rsidR="00205AB1" w:rsidRPr="00370648" w:rsidRDefault="00205AB1" w:rsidP="00205AB1">
      <w:pPr>
        <w:pStyle w:val="Body2"/>
        <w:rPr>
          <w:lang w:val="lt-LT"/>
        </w:rPr>
      </w:pPr>
    </w:p>
    <w:p w14:paraId="44BC881E" w14:textId="0CA87D6C"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AC2D48">
        <w:rPr>
          <w:lang w:val="lt-LT"/>
        </w:rPr>
        <w:t xml:space="preserve"> </w:t>
      </w:r>
      <w:r w:rsidR="00384C3D" w:rsidRPr="00384C3D">
        <w:rPr>
          <w:lang w:val="lt-LT"/>
        </w:rPr>
        <w:t>(</w:t>
      </w:r>
      <w:r w:rsidR="00406AB6">
        <w:rPr>
          <w:lang w:val="lt-LT"/>
        </w:rPr>
        <w:t>0</w:t>
      </w:r>
      <w:r w:rsidR="00384C3D" w:rsidRPr="00384C3D">
        <w:rPr>
          <w:lang w:val="lt-LT"/>
        </w:rPr>
        <w:t>-37)</w:t>
      </w:r>
      <w:r w:rsidR="001E79B5">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2139728D" w14:textId="77777777"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5F1C4EEC" w14:textId="71D788D1" w:rsidR="00402A83" w:rsidRDefault="00205AB1" w:rsidP="00F4014D">
      <w:pPr>
        <w:pStyle w:val="Body2"/>
        <w:ind w:firstLine="720"/>
        <w:rPr>
          <w:lang w:val="lt-LT"/>
        </w:rPr>
      </w:pPr>
      <w:r w:rsidRPr="00370648">
        <w:rPr>
          <w:lang w:val="lt-LT"/>
        </w:rPr>
        <w:t xml:space="preserve">2.3. </w:t>
      </w:r>
      <w:r w:rsidR="007738E5" w:rsidRPr="007738E5">
        <w:rPr>
          <w:lang w:val="lt-LT"/>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„Techninė specifikacija“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84C3D" w:rsidRPr="00384C3D">
        <w:rPr>
          <w:lang w:val="lt-LT"/>
        </w:rPr>
        <w:t>Josvainių g. 2, Kaunas</w:t>
      </w:r>
      <w:r w:rsidR="00E06D27">
        <w:rPr>
          <w:lang w:val="lt-LT"/>
        </w:rPr>
        <w:t>.</w:t>
      </w:r>
    </w:p>
    <w:p w14:paraId="60AFB12B" w14:textId="77777777" w:rsidR="000201A6" w:rsidRDefault="00402A83" w:rsidP="00402A83">
      <w:pPr>
        <w:pStyle w:val="Body2"/>
        <w:ind w:firstLine="720"/>
        <w:rPr>
          <w:lang w:val="lt-LT"/>
        </w:rPr>
      </w:pPr>
      <w:r>
        <w:rPr>
          <w:lang w:val="lt-LT"/>
        </w:rPr>
        <w:t xml:space="preserve">2.6. </w:t>
      </w:r>
      <w:r w:rsidR="000201A6" w:rsidRPr="000201A6">
        <w:rPr>
          <w:lang w:val="lt-LT"/>
        </w:rPr>
        <w:t>Perkančiosios organizacijos sprendimo neatlikti pirkimo naudojantis centralizuotų pirkimų katalogu argumentai: pirkimo objekto centralizuotų pirkimų kataloge nėra.</w:t>
      </w:r>
    </w:p>
    <w:p w14:paraId="61013A07" w14:textId="4F2CB322" w:rsidR="007B5F68" w:rsidRDefault="00205AB1" w:rsidP="008F0D60">
      <w:pPr>
        <w:pStyle w:val="Body2"/>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 xml:space="preserve">Tiekėjas yra neatlikęs jam paskirtos baudžiamojo poveikio priemonės – </w:t>
            </w:r>
            <w:r w:rsidRPr="007B5F68">
              <w:rPr>
                <w:rFonts w:eastAsiaTheme="minorEastAsia"/>
                <w:sz w:val="22"/>
                <w:szCs w:val="22"/>
                <w:bdr w:val="none" w:sz="0" w:space="0" w:color="auto"/>
                <w:lang w:val="lt-LT"/>
              </w:rPr>
              <w:lastRenderedPageBreak/>
              <w:t>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lastRenderedPageBreak/>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lastRenderedPageBreak/>
              <w:t xml:space="preserve">Iš Lietuvoje įsteigtų subjektų įrodančių dokumentų nereikalaujama. </w:t>
            </w:r>
            <w:r>
              <w:rPr>
                <w:rFonts w:eastAsiaTheme="minorEastAsia"/>
                <w:sz w:val="22"/>
                <w:szCs w:val="22"/>
                <w:bdr w:val="none" w:sz="0" w:space="0" w:color="auto"/>
                <w:lang w:val="lt-LT" w:eastAsia="lt-LT"/>
              </w:rPr>
              <w:t xml:space="preserve">Tiekėjas </w:t>
            </w:r>
            <w:r>
              <w:rPr>
                <w:rFonts w:eastAsiaTheme="minorEastAsia"/>
                <w:sz w:val="22"/>
                <w:szCs w:val="22"/>
                <w:bdr w:val="none" w:sz="0" w:space="0" w:color="auto"/>
                <w:lang w:val="lt-LT" w:eastAsia="lt-LT"/>
              </w:rPr>
              <w:lastRenderedPageBreak/>
              <w:t xml:space="preserve">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2ED77C90" w:rsidR="0086739B" w:rsidRDefault="00C24B2D" w:rsidP="00863237">
      <w:pPr>
        <w:pStyle w:val="Body2"/>
        <w:ind w:firstLine="720"/>
        <w:rPr>
          <w:lang w:val="lt-LT"/>
        </w:rPr>
      </w:pPr>
      <w:r>
        <w:rPr>
          <w:lang w:val="lt-LT"/>
        </w:rPr>
        <w:lastRenderedPageBreak/>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w:t>
      </w:r>
      <w:r w:rsidR="00205AB1" w:rsidRPr="00370648">
        <w:rPr>
          <w:lang w:val="lt-LT"/>
        </w:rPr>
        <w:lastRenderedPageBreak/>
        <w:t>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EA7257">
        <w:rPr>
          <w:color w:val="auto"/>
          <w:lang w:val="lt-LT"/>
        </w:rPr>
        <w:t xml:space="preserve">pateiktas </w:t>
      </w:r>
      <w:r w:rsidR="00205AB1" w:rsidRPr="00EA7257">
        <w:rPr>
          <w:b/>
          <w:bCs/>
          <w:color w:val="auto"/>
          <w:lang w:val="lt-LT"/>
        </w:rPr>
        <w:t xml:space="preserve">iki </w:t>
      </w:r>
      <w:r w:rsidR="004F238C" w:rsidRPr="00EA7257">
        <w:rPr>
          <w:b/>
          <w:bCs/>
          <w:color w:val="auto"/>
          <w:lang w:val="lt-LT"/>
        </w:rPr>
        <w:t xml:space="preserve">2025 m. </w:t>
      </w:r>
      <w:r w:rsidR="00B02E1E" w:rsidRPr="00EA7257">
        <w:rPr>
          <w:b/>
          <w:bCs/>
          <w:color w:val="auto"/>
          <w:lang w:val="lt-LT"/>
        </w:rPr>
        <w:t>lapkričio</w:t>
      </w:r>
      <w:r w:rsidR="004F238C" w:rsidRPr="00EA7257">
        <w:rPr>
          <w:b/>
          <w:bCs/>
          <w:color w:val="auto"/>
          <w:lang w:val="lt-LT"/>
        </w:rPr>
        <w:t xml:space="preserve"> </w:t>
      </w:r>
      <w:r w:rsidR="00B02E1E" w:rsidRPr="00EA7257">
        <w:rPr>
          <w:b/>
          <w:bCs/>
          <w:color w:val="auto"/>
          <w:lang w:val="lt-LT"/>
        </w:rPr>
        <w:t>1</w:t>
      </w:r>
      <w:r w:rsidR="00A22E71">
        <w:rPr>
          <w:b/>
          <w:bCs/>
          <w:color w:val="auto"/>
          <w:lang w:val="lt-LT"/>
        </w:rPr>
        <w:t>0</w:t>
      </w:r>
      <w:r w:rsidR="004F238C" w:rsidRPr="00EA7257">
        <w:rPr>
          <w:b/>
          <w:bCs/>
          <w:color w:val="auto"/>
          <w:lang w:val="lt-LT"/>
        </w:rPr>
        <w:t xml:space="preserve"> d. 1</w:t>
      </w:r>
      <w:r w:rsidR="00A22E71">
        <w:rPr>
          <w:b/>
          <w:bCs/>
          <w:color w:val="auto"/>
          <w:lang w:val="lt-LT"/>
        </w:rPr>
        <w:t>3</w:t>
      </w:r>
      <w:bookmarkStart w:id="0" w:name="_GoBack"/>
      <w:bookmarkEnd w:id="0"/>
      <w:r w:rsidR="004F238C" w:rsidRPr="00EA7257">
        <w:rPr>
          <w:b/>
          <w:bCs/>
          <w:color w:val="auto"/>
          <w:lang w:val="lt-LT"/>
        </w:rPr>
        <w:t>.00 val.</w:t>
      </w:r>
      <w:r w:rsidR="00205AB1" w:rsidRPr="00EA7257">
        <w:rPr>
          <w:b/>
          <w:bCs/>
          <w:color w:val="auto"/>
          <w:lang w:val="lt-LT"/>
        </w:rPr>
        <w:tab/>
      </w:r>
      <w:r w:rsidR="00205AB1" w:rsidRPr="00EA7257">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w:t>
      </w:r>
      <w:r w:rsidR="00205AB1" w:rsidRPr="00370648">
        <w:rPr>
          <w:lang w:val="lt-LT"/>
        </w:rPr>
        <w:lastRenderedPageBreak/>
        <w:t>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lastRenderedPageBreak/>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lastRenderedPageBreak/>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w:t>
      </w:r>
      <w:r w:rsidRPr="00370648">
        <w:rPr>
          <w:lang w:val="lt-LT"/>
        </w:rPr>
        <w:lastRenderedPageBreak/>
        <w:t>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 xml:space="preserve">16.10.2. motyvuotą teismo nutartį dėl tiekėjo prašymo taikyti laikinąsias apsaugos priemones </w:t>
      </w:r>
      <w:r w:rsidRPr="00370648">
        <w:rPr>
          <w:lang w:val="lt-LT"/>
        </w:rPr>
        <w:lastRenderedPageBreak/>
        <w:t>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166140E3"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C51AE7">
        <w:rPr>
          <w:color w:val="auto"/>
          <w:lang w:val="lt-LT"/>
        </w:rPr>
        <w:t>18. PIRKIMO SĄLYGŲ PRIEDAI</w:t>
      </w:r>
      <w:r w:rsidRPr="00C51AE7">
        <w:rPr>
          <w:color w:val="auto"/>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0A7670">
        <w:rPr>
          <w:lang w:val="lt-LT"/>
        </w:rPr>
        <w:t>3</w:t>
      </w:r>
      <w:r w:rsidR="000A7670" w:rsidRPr="000A7670">
        <w:rPr>
          <w:lang w:val="lt-LT"/>
        </w:rPr>
        <w:t>. Sutarties projektas. Bendrosios sąlygos</w:t>
      </w:r>
    </w:p>
    <w:p w14:paraId="39DFE4DF" w14:textId="3BD3594B" w:rsidR="00205AB1" w:rsidRPr="00370648" w:rsidRDefault="000A7670" w:rsidP="00F67EDB">
      <w:pPr>
        <w:pStyle w:val="Body2"/>
        <w:spacing w:after="0"/>
        <w:ind w:firstLine="720"/>
        <w:rPr>
          <w:lang w:val="lt-LT"/>
        </w:rPr>
      </w:pPr>
      <w:r w:rsidRPr="000A7670">
        <w:rPr>
          <w:lang w:val="lt-LT"/>
        </w:rPr>
        <w:t>1</w:t>
      </w:r>
      <w:r>
        <w:rPr>
          <w:lang w:val="lt-LT"/>
        </w:rPr>
        <w:t>8.</w:t>
      </w:r>
      <w:r w:rsidRPr="000A7670">
        <w:rPr>
          <w:lang w:val="lt-LT"/>
        </w:rPr>
        <w:t>4.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AC27" w14:textId="77777777" w:rsidR="004D2355" w:rsidRDefault="004D2355">
      <w:r>
        <w:separator/>
      </w:r>
    </w:p>
  </w:endnote>
  <w:endnote w:type="continuationSeparator" w:id="0">
    <w:p w14:paraId="5F0A2009" w14:textId="77777777" w:rsidR="004D2355" w:rsidRDefault="004D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1B4C5" w14:textId="77777777" w:rsidR="004D2355" w:rsidRDefault="004D2355">
      <w:r>
        <w:separator/>
      </w:r>
    </w:p>
  </w:footnote>
  <w:footnote w:type="continuationSeparator" w:id="0">
    <w:p w14:paraId="23932795" w14:textId="77777777" w:rsidR="004D2355" w:rsidRDefault="004D2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7ABA"/>
    <w:rsid w:val="00096D5C"/>
    <w:rsid w:val="000A19AB"/>
    <w:rsid w:val="000A7670"/>
    <w:rsid w:val="001125E3"/>
    <w:rsid w:val="00126252"/>
    <w:rsid w:val="00135C69"/>
    <w:rsid w:val="001A66DC"/>
    <w:rsid w:val="001A671F"/>
    <w:rsid w:val="001E79B5"/>
    <w:rsid w:val="00205AB1"/>
    <w:rsid w:val="00244EFD"/>
    <w:rsid w:val="00300929"/>
    <w:rsid w:val="003819F4"/>
    <w:rsid w:val="00384C3D"/>
    <w:rsid w:val="003A0249"/>
    <w:rsid w:val="003B25FB"/>
    <w:rsid w:val="00402A83"/>
    <w:rsid w:val="00406AB6"/>
    <w:rsid w:val="00407616"/>
    <w:rsid w:val="00430D72"/>
    <w:rsid w:val="004D2355"/>
    <w:rsid w:val="004F238C"/>
    <w:rsid w:val="0052315D"/>
    <w:rsid w:val="00541995"/>
    <w:rsid w:val="005868BD"/>
    <w:rsid w:val="00591182"/>
    <w:rsid w:val="005A790F"/>
    <w:rsid w:val="005E5855"/>
    <w:rsid w:val="00610292"/>
    <w:rsid w:val="00657C01"/>
    <w:rsid w:val="00676A11"/>
    <w:rsid w:val="006B4522"/>
    <w:rsid w:val="006E3F43"/>
    <w:rsid w:val="00710EB6"/>
    <w:rsid w:val="007738E5"/>
    <w:rsid w:val="007B5F68"/>
    <w:rsid w:val="007C39A3"/>
    <w:rsid w:val="007E757F"/>
    <w:rsid w:val="007F1598"/>
    <w:rsid w:val="008035BB"/>
    <w:rsid w:val="00804DC5"/>
    <w:rsid w:val="00811D0B"/>
    <w:rsid w:val="008215C7"/>
    <w:rsid w:val="00863237"/>
    <w:rsid w:val="0086739B"/>
    <w:rsid w:val="008F0D60"/>
    <w:rsid w:val="00914FAC"/>
    <w:rsid w:val="009400A6"/>
    <w:rsid w:val="00974919"/>
    <w:rsid w:val="009770A0"/>
    <w:rsid w:val="0099639A"/>
    <w:rsid w:val="009A7E62"/>
    <w:rsid w:val="00A17211"/>
    <w:rsid w:val="00A22E71"/>
    <w:rsid w:val="00A30AD3"/>
    <w:rsid w:val="00AC2D48"/>
    <w:rsid w:val="00AD2FBA"/>
    <w:rsid w:val="00AE0A45"/>
    <w:rsid w:val="00AE4017"/>
    <w:rsid w:val="00B02E1E"/>
    <w:rsid w:val="00C24B2D"/>
    <w:rsid w:val="00C266B8"/>
    <w:rsid w:val="00C51AE7"/>
    <w:rsid w:val="00C71F64"/>
    <w:rsid w:val="00C80AE2"/>
    <w:rsid w:val="00C83D30"/>
    <w:rsid w:val="00CC42EC"/>
    <w:rsid w:val="00D273FE"/>
    <w:rsid w:val="00DB64DA"/>
    <w:rsid w:val="00DD3231"/>
    <w:rsid w:val="00DE7921"/>
    <w:rsid w:val="00E021B3"/>
    <w:rsid w:val="00E06D27"/>
    <w:rsid w:val="00E2133B"/>
    <w:rsid w:val="00E3740F"/>
    <w:rsid w:val="00E66DF1"/>
    <w:rsid w:val="00EA7257"/>
    <w:rsid w:val="00EC539B"/>
    <w:rsid w:val="00F14179"/>
    <w:rsid w:val="00F23749"/>
    <w:rsid w:val="00F4014D"/>
    <w:rsid w:val="00F67EDB"/>
    <w:rsid w:val="00F733D9"/>
    <w:rsid w:val="00F8452D"/>
    <w:rsid w:val="00FA71C1"/>
    <w:rsid w:val="00FC29B4"/>
    <w:rsid w:val="00FD3C46"/>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4538</Words>
  <Characters>25868</Characters>
  <Application>Microsoft Office Word</Application>
  <DocSecurity>0</DocSecurity>
  <Lines>215</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73</cp:revision>
  <dcterms:created xsi:type="dcterms:W3CDTF">2021-02-08T14:42:00Z</dcterms:created>
  <dcterms:modified xsi:type="dcterms:W3CDTF">2025-11-04T13:10:00Z</dcterms:modified>
</cp:coreProperties>
</file>