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4FD7EB9B" w:rsidR="000F2D5F" w:rsidRPr="00180BDA" w:rsidRDefault="00EA54D6"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E034F0">
            <w:rPr>
              <w:b/>
            </w:rPr>
            <w:t xml:space="preserve">ŠTABO </w:t>
          </w:r>
          <w:r w:rsidR="002B053A">
            <w:rPr>
              <w:b/>
            </w:rPr>
            <w:t xml:space="preserve">VALGYKLOS </w:t>
          </w:r>
          <w:r w:rsidR="00A012C5">
            <w:rPr>
              <w:b/>
            </w:rPr>
            <w:t>LANGŲ</w:t>
          </w:r>
          <w:r w:rsidR="002B053A">
            <w:rPr>
              <w:b/>
            </w:rPr>
            <w:t xml:space="preserve"> KEITIMO</w:t>
          </w:r>
          <w:r w:rsidR="002B053A" w:rsidRPr="00180BDA">
            <w:rPr>
              <w:b/>
            </w:rPr>
            <w:t xml:space="preserve"> </w:t>
          </w:r>
          <w:r w:rsidR="005534BD" w:rsidRPr="00180BDA">
            <w:rPr>
              <w:b/>
            </w:rPr>
            <w:t>DARBŲ</w:t>
          </w:r>
          <w:r w:rsidR="00BE3D0E" w:rsidRPr="00180BDA">
            <w:rPr>
              <w:b/>
            </w:rPr>
            <w:t>,</w:t>
          </w:r>
          <w:r w:rsidR="004136AA" w:rsidRPr="00180BDA">
            <w:rPr>
              <w:b/>
            </w:rPr>
            <w:t xml:space="preserve"> ADRESU: </w:t>
          </w:r>
          <w:r w:rsidR="00AC3017">
            <w:rPr>
              <w:b/>
            </w:rPr>
            <w:t>NAUJOJI UOSTO G. 24,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EA54D6">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EA54D6">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EA54D6">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EA54D6">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EA54D6">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EA54D6">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EA54D6">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EA54D6">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EA54D6">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EA54D6">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EA54D6">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EA54D6">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EA54D6">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EA54D6">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599484D4"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AC3017">
        <w:rPr>
          <w:b/>
        </w:rPr>
        <w:t xml:space="preserve">štabo </w:t>
      </w:r>
      <w:r w:rsidR="002B053A">
        <w:rPr>
          <w:b/>
        </w:rPr>
        <w:t>valgyklos</w:t>
      </w:r>
      <w:r w:rsidR="00272631">
        <w:rPr>
          <w:b/>
        </w:rPr>
        <w:t xml:space="preserve"> (</w:t>
      </w:r>
      <w:r w:rsidR="002B053A">
        <w:rPr>
          <w:b/>
        </w:rPr>
        <w:t>2M1p</w:t>
      </w:r>
      <w:r w:rsidR="00272631">
        <w:rPr>
          <w:b/>
        </w:rPr>
        <w:t>)</w:t>
      </w:r>
      <w:r w:rsidR="00C53B89">
        <w:rPr>
          <w:b/>
        </w:rPr>
        <w:t xml:space="preserve"> </w:t>
      </w:r>
      <w:r w:rsidR="00A012C5">
        <w:rPr>
          <w:b/>
        </w:rPr>
        <w:t>langų</w:t>
      </w:r>
      <w:r w:rsidR="002B053A">
        <w:rPr>
          <w:b/>
        </w:rPr>
        <w:t xml:space="preserve"> keitimas</w:t>
      </w:r>
      <w:r w:rsidRPr="00180BDA">
        <w:rPr>
          <w:b/>
        </w:rPr>
        <w:t xml:space="preserve">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209C1536"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A012C5">
        <w:t>120</w:t>
      </w:r>
      <w:r w:rsidRPr="00180BDA">
        <w:t>00,00 Eur su PVM.</w:t>
      </w:r>
    </w:p>
    <w:p w14:paraId="219350A1" w14:textId="16E18132"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EA54D6">
        <w:t>gruodžio 12</w:t>
      </w:r>
      <w:bookmarkStart w:id="3" w:name="_GoBack"/>
      <w:bookmarkEnd w:id="3"/>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2D71DB4D"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AC3017">
        <w:t>Naujoji Uosto g. 24,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4"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4"/>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2CBCA525" w14:textId="77777777" w:rsidTr="00173B4A">
        <w:tc>
          <w:tcPr>
            <w:tcW w:w="757" w:type="dxa"/>
          </w:tcPr>
          <w:p w14:paraId="6B4C9E58" w14:textId="0057BFB1" w:rsidR="00180BDA" w:rsidRPr="00180BDA" w:rsidRDefault="00180BDA" w:rsidP="00AC3017">
            <w:pPr>
              <w:jc w:val="center"/>
              <w:rPr>
                <w:lang w:val="lt-LT"/>
              </w:rPr>
            </w:pPr>
            <w:r w:rsidRPr="00180BDA">
              <w:rPr>
                <w:rFonts w:ascii="Times New Roman" w:hAnsi="Times New Roman"/>
                <w:lang w:val="lt-LT"/>
              </w:rPr>
              <w:t>3.3.</w:t>
            </w:r>
            <w:r w:rsidR="002B053A">
              <w:rPr>
                <w:rFonts w:ascii="Times New Roman" w:hAnsi="Times New Roman"/>
                <w:lang w:val="lt-LT"/>
              </w:rPr>
              <w:t>1</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5" w:name="_Toc97193696"/>
      <w:r w:rsidRPr="00180BDA">
        <w:t xml:space="preserve">4. </w:t>
      </w:r>
      <w:r w:rsidR="002D412A" w:rsidRPr="00180BDA">
        <w:t xml:space="preserve">ŪKIO SUBJEKTŲ GRUPĖS </w:t>
      </w:r>
      <w:r w:rsidR="00DA3F02" w:rsidRPr="00180BDA">
        <w:t>DALYVAVIMAS PIRKIMO PROCEDŪROSE</w:t>
      </w:r>
      <w:bookmarkEnd w:id="5"/>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6"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6"/>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7" w:name="_Toc97193698"/>
      <w:r w:rsidRPr="00180BDA">
        <w:t>6. PASIŪLYMŲ GALIOJIMAS</w:t>
      </w:r>
      <w:bookmarkEnd w:id="7"/>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8" w:name="_Toc97193699"/>
      <w:r w:rsidRPr="00180BDA">
        <w:t>7. PASIŪLYMŲ PATEIKIMO TERMINAI IR TVARKA</w:t>
      </w:r>
      <w:bookmarkEnd w:id="8"/>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2" w:name="_Toc97193700"/>
      <w:r w:rsidRPr="00180BDA">
        <w:t>8. PASIŪLYMŲ ŠIFRAVIMAS</w:t>
      </w:r>
      <w:bookmarkEnd w:id="12"/>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interneto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3" w:name="_Toc97193701"/>
      <w:r w:rsidRPr="00180BDA">
        <w:t>9. PIRKIMO SĄLYGŲ PAAIŠKINIMAS</w:t>
      </w:r>
      <w:bookmarkEnd w:id="9"/>
      <w:bookmarkEnd w:id="10"/>
      <w:bookmarkEnd w:id="11"/>
      <w:r w:rsidRPr="00180BDA">
        <w:t xml:space="preserve"> IR PATIKSLINIMAS</w:t>
      </w:r>
      <w:bookmarkEnd w:id="13"/>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4" w:name="_Toc97193702"/>
      <w:r w:rsidRPr="00180BDA">
        <w:rPr>
          <w:bCs/>
        </w:rPr>
        <w:t xml:space="preserve">10. </w:t>
      </w:r>
      <w:r w:rsidR="00D766FF" w:rsidRPr="00180BDA">
        <w:t>SUSIPAŽINIMAS SU PASIŪLYMAIS IR JŲ VERTINIMAS</w:t>
      </w:r>
      <w:r w:rsidR="00917974" w:rsidRPr="00180BDA">
        <w:t>. DERYBOS</w:t>
      </w:r>
      <w:bookmarkEnd w:id="14"/>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5" w:name="_Toc97193703"/>
      <w:r w:rsidRPr="00180BDA">
        <w:rPr>
          <w:color w:val="000000"/>
        </w:rPr>
        <w:t>11. PASIŪLYMŲ NAGRINĖJIMAS IR ATMETIMO PRIEŽASTYS</w:t>
      </w:r>
      <w:bookmarkEnd w:id="15"/>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13B03340"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w:t>
      </w:r>
      <w:r w:rsidR="00272631">
        <w:t xml:space="preserve">izacija neprivalo nurodyti </w:t>
      </w:r>
      <w:r w:rsidRPr="00180BDA">
        <w:t>dalyvių pasiūlyt</w:t>
      </w:r>
      <w:r w:rsidR="00995959">
        <w:t>ų</w:t>
      </w:r>
      <w:r w:rsidRPr="00180BDA">
        <w:t xml:space="preserve"> kain</w:t>
      </w:r>
      <w:r w:rsidR="00995959">
        <w:t>ų</w:t>
      </w:r>
      <w:r w:rsidRPr="00180BDA">
        <w:t>.</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4080495"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54D6">
      <w:rPr>
        <w:rStyle w:val="PageNumber"/>
        <w:noProof/>
      </w:rPr>
      <w:t>3</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2631"/>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53A"/>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375F"/>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476D2"/>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2C5"/>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4D6"/>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D61F6-B039-425F-8808-A727189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19439</Characters>
  <Application>Microsoft Office Word</Application>
  <DocSecurity>0</DocSecurity>
  <Lines>161</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22020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2</cp:revision>
  <cp:lastPrinted>2019-09-06T05:31:00Z</cp:lastPrinted>
  <dcterms:created xsi:type="dcterms:W3CDTF">2025-11-05T08:10:00Z</dcterms:created>
  <dcterms:modified xsi:type="dcterms:W3CDTF">2025-11-05T08:10:00Z</dcterms:modified>
</cp:coreProperties>
</file>