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C42FA9B"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B02F12">
        <w:rPr>
          <w:rFonts w:eastAsia="Calibri"/>
          <w:b/>
          <w:bCs/>
          <w:sz w:val="20"/>
        </w:rPr>
        <w:t>2</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7B8286D2" w:rsidR="005626DA" w:rsidRDefault="002B2715" w:rsidP="005626DA">
            <w:pPr>
              <w:spacing w:line="259" w:lineRule="auto"/>
              <w:jc w:val="center"/>
              <w:rPr>
                <w:b/>
                <w:caps/>
                <w:sz w:val="20"/>
              </w:rPr>
            </w:pPr>
            <w:r>
              <w:rPr>
                <w:b/>
                <w:caps/>
                <w:sz w:val="20"/>
              </w:rPr>
              <w:t>ELIPSINIS TRENIRUOKLIS</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40C05A38" w14:textId="77777777" w:rsidR="006B2FFF" w:rsidRDefault="006B2FFF" w:rsidP="00F27621">
            <w:pPr>
              <w:rPr>
                <w:color w:val="4D5156"/>
                <w:sz w:val="22"/>
                <w:szCs w:val="22"/>
                <w:shd w:val="clear" w:color="auto" w:fill="FFFFFF"/>
              </w:rPr>
            </w:pPr>
          </w:p>
          <w:p w14:paraId="5BCC6BB1" w14:textId="77777777" w:rsidR="002B2715" w:rsidRDefault="002B2715" w:rsidP="00F27621">
            <w:pPr>
              <w:rPr>
                <w:color w:val="4D5156"/>
                <w:sz w:val="22"/>
                <w:szCs w:val="22"/>
                <w:shd w:val="clear" w:color="auto" w:fill="FFFFFF"/>
              </w:rPr>
            </w:pPr>
          </w:p>
          <w:p w14:paraId="26D0FAB7" w14:textId="77777777" w:rsidR="002B2715" w:rsidRDefault="002B2715" w:rsidP="00F27621">
            <w:pPr>
              <w:rPr>
                <w:color w:val="4D5156"/>
                <w:sz w:val="22"/>
                <w:szCs w:val="22"/>
                <w:shd w:val="clear" w:color="auto" w:fill="FFFFFF"/>
              </w:rPr>
            </w:pPr>
          </w:p>
          <w:p w14:paraId="3735C7F8" w14:textId="77777777" w:rsidR="002B2715" w:rsidRDefault="002B2715" w:rsidP="00F27621">
            <w:pPr>
              <w:rPr>
                <w:color w:val="4D5156"/>
                <w:sz w:val="22"/>
                <w:szCs w:val="22"/>
                <w:shd w:val="clear" w:color="auto" w:fill="FFFFFF"/>
              </w:rPr>
            </w:pPr>
          </w:p>
          <w:p w14:paraId="6CA792E0" w14:textId="77777777" w:rsidR="002B2715" w:rsidRDefault="002B2715" w:rsidP="00F27621">
            <w:pPr>
              <w:rPr>
                <w:color w:val="4D5156"/>
                <w:sz w:val="22"/>
                <w:szCs w:val="22"/>
                <w:shd w:val="clear" w:color="auto" w:fill="FFFFFF"/>
              </w:rPr>
            </w:pPr>
          </w:p>
          <w:p w14:paraId="585F94FA" w14:textId="77777777" w:rsidR="002B2715" w:rsidRDefault="002B2715" w:rsidP="00F27621">
            <w:pPr>
              <w:rPr>
                <w:color w:val="4D5156"/>
                <w:sz w:val="22"/>
                <w:szCs w:val="22"/>
                <w:shd w:val="clear" w:color="auto" w:fill="FFFFFF"/>
              </w:rPr>
            </w:pPr>
          </w:p>
          <w:p w14:paraId="56BB851D" w14:textId="77777777" w:rsidR="002B2715" w:rsidRDefault="002B2715"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34AEFA2" w14:textId="49D9F96A" w:rsidR="00E0593F" w:rsidRPr="00800AC5" w:rsidRDefault="00E0593F" w:rsidP="00E0593F">
            <w:pPr>
              <w:jc w:val="both"/>
              <w:rPr>
                <w:kern w:val="2"/>
                <w:sz w:val="22"/>
                <w:szCs w:val="22"/>
              </w:rPr>
            </w:pPr>
            <w:r w:rsidRPr="00800AC5">
              <w:rPr>
                <w:kern w:val="2"/>
                <w:sz w:val="22"/>
                <w:szCs w:val="22"/>
              </w:rPr>
              <w:t xml:space="preserve">Tiekėjas įsipareigoja Sutartyje numatytomis sąlygomis perduoti  Pirkėjui Sutarties 1 priede nurodytą </w:t>
            </w:r>
            <w:r w:rsidR="002B2715">
              <w:rPr>
                <w:kern w:val="2"/>
                <w:sz w:val="22"/>
                <w:szCs w:val="22"/>
              </w:rPr>
              <w:t>elipsinį treniruoklį</w:t>
            </w:r>
            <w:r>
              <w:rPr>
                <w:kern w:val="2"/>
                <w:sz w:val="22"/>
                <w:szCs w:val="22"/>
              </w:rPr>
              <w:t xml:space="preserve"> </w:t>
            </w:r>
            <w:r w:rsidRPr="00800AC5">
              <w:rPr>
                <w:kern w:val="2"/>
                <w:sz w:val="22"/>
                <w:szCs w:val="22"/>
              </w:rPr>
              <w:t>(toliau – Prekės)</w:t>
            </w:r>
            <w:r>
              <w:rPr>
                <w:kern w:val="2"/>
                <w:sz w:val="22"/>
                <w:szCs w:val="22"/>
              </w:rPr>
              <w:t xml:space="preserve"> įskaitant pristatymą.</w:t>
            </w:r>
          </w:p>
          <w:p w14:paraId="7E5C78DD" w14:textId="7588B83A" w:rsidR="0070666D" w:rsidRPr="000D629B" w:rsidRDefault="0070666D" w:rsidP="0070666D">
            <w:pPr>
              <w:rPr>
                <w:color w:val="000000"/>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1F5649C8" w14:textId="3416AD66" w:rsidR="004E6296" w:rsidRDefault="002B2715" w:rsidP="004E6296">
            <w:pPr>
              <w:spacing w:line="259" w:lineRule="auto"/>
              <w:jc w:val="center"/>
              <w:rPr>
                <w:b/>
                <w:caps/>
                <w:sz w:val="20"/>
              </w:rPr>
            </w:pPr>
            <w:r>
              <w:rPr>
                <w:b/>
                <w:caps/>
                <w:sz w:val="20"/>
              </w:rPr>
              <w:t>ELIPSINIS TRENIRUOKLIS</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35419F06"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4E6296">
              <w:rPr>
                <w:b/>
                <w:bCs/>
                <w:kern w:val="2"/>
                <w:sz w:val="22"/>
                <w:szCs w:val="22"/>
              </w:rPr>
              <w:t>2</w:t>
            </w:r>
            <w:r w:rsidR="00E43E52">
              <w:rPr>
                <w:b/>
                <w:bCs/>
                <w:kern w:val="2"/>
                <w:sz w:val="22"/>
                <w:szCs w:val="22"/>
              </w:rPr>
              <w:t xml:space="preserve"> (</w:t>
            </w:r>
            <w:r w:rsidR="004E6296">
              <w:rPr>
                <w:b/>
                <w:bCs/>
                <w:kern w:val="2"/>
                <w:sz w:val="22"/>
                <w:szCs w:val="22"/>
              </w:rPr>
              <w:t>du</w:t>
            </w:r>
            <w:r w:rsidR="00E43E52">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624B3D15" w:rsidR="0070666D" w:rsidRPr="000D629B" w:rsidRDefault="0070666D" w:rsidP="0070666D">
            <w:pPr>
              <w:jc w:val="both"/>
              <w:rPr>
                <w:kern w:val="2"/>
                <w:sz w:val="22"/>
                <w:szCs w:val="22"/>
              </w:rPr>
            </w:pPr>
            <w:r w:rsidRPr="005E2633">
              <w:rPr>
                <w:kern w:val="2"/>
                <w:sz w:val="22"/>
                <w:szCs w:val="22"/>
              </w:rPr>
              <w:t xml:space="preserve">Įrangos pristatymo adresas: </w:t>
            </w:r>
            <w:proofErr w:type="spellStart"/>
            <w:r w:rsidR="002B2715" w:rsidRPr="004C03DC">
              <w:rPr>
                <w:kern w:val="2"/>
                <w:sz w:val="22"/>
                <w:szCs w:val="22"/>
                <w:lang w:val="en-US"/>
              </w:rPr>
              <w:t>Vytauto</w:t>
            </w:r>
            <w:proofErr w:type="spellEnd"/>
            <w:r w:rsidR="002B2715" w:rsidRPr="004C03DC">
              <w:rPr>
                <w:kern w:val="2"/>
                <w:sz w:val="22"/>
                <w:szCs w:val="22"/>
                <w:lang w:val="en-US"/>
              </w:rPr>
              <w:t xml:space="preserve"> g. 153, Palanga</w:t>
            </w:r>
            <w:r w:rsidR="002B2715">
              <w:rPr>
                <w:kern w:val="2"/>
                <w:sz w:val="22"/>
                <w:szCs w:val="22"/>
                <w:lang w:val="en-US"/>
              </w:rPr>
              <w:t>.</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668D786E" w:rsidR="00D55D3A" w:rsidRPr="00F516EC" w:rsidRDefault="002B2715" w:rsidP="00F27621">
            <w:pPr>
              <w:rPr>
                <w:kern w:val="2"/>
                <w:sz w:val="22"/>
                <w:szCs w:val="22"/>
              </w:rPr>
            </w:pPr>
            <w:r>
              <w:rPr>
                <w:sz w:val="22"/>
                <w:szCs w:val="22"/>
              </w:rPr>
              <w:t>Netaikoma</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17BB2D20"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2B2715">
              <w:rPr>
                <w:kern w:val="2"/>
                <w:sz w:val="22"/>
                <w:szCs w:val="22"/>
              </w:rPr>
              <w:t>12</w:t>
            </w:r>
            <w:r w:rsidR="00486652" w:rsidRPr="000C1D2B">
              <w:rPr>
                <w:b/>
                <w:bCs/>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6DA3588E"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2B2715">
              <w:rPr>
                <w:kern w:val="2"/>
                <w:sz w:val="22"/>
                <w:szCs w:val="22"/>
              </w:rPr>
              <w:t>2</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463B3029"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104C71">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sidR="00104C71">
              <w:rPr>
                <w:b/>
                <w:bCs/>
                <w:sz w:val="22"/>
                <w:szCs w:val="22"/>
              </w:rPr>
              <w:t>2</w:t>
            </w:r>
            <w:r w:rsidR="00E43E52">
              <w:rPr>
                <w:b/>
                <w:bCs/>
                <w:sz w:val="22"/>
                <w:szCs w:val="22"/>
              </w:rPr>
              <w:t xml:space="preserve"> 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lastRenderedPageBreak/>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2FE309F8" w14:textId="77777777" w:rsidR="00426FF0" w:rsidRDefault="00426FF0" w:rsidP="00426FF0">
            <w:pPr>
              <w:jc w:val="both"/>
              <w:rPr>
                <w:b/>
                <w:bCs/>
                <w:kern w:val="2"/>
                <w:sz w:val="22"/>
                <w:szCs w:val="22"/>
              </w:rPr>
            </w:pPr>
          </w:p>
          <w:p w14:paraId="70DF1D3E" w14:textId="2E893946"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8132C"/>
    <w:rsid w:val="000926CF"/>
    <w:rsid w:val="000B237A"/>
    <w:rsid w:val="000B4B80"/>
    <w:rsid w:val="000C1D2B"/>
    <w:rsid w:val="000C3125"/>
    <w:rsid w:val="000D629B"/>
    <w:rsid w:val="000E69A3"/>
    <w:rsid w:val="00104C71"/>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B2715"/>
    <w:rsid w:val="002F145E"/>
    <w:rsid w:val="00321C3F"/>
    <w:rsid w:val="003749BB"/>
    <w:rsid w:val="003826F4"/>
    <w:rsid w:val="00382709"/>
    <w:rsid w:val="003B732B"/>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54D21"/>
    <w:rsid w:val="0076109B"/>
    <w:rsid w:val="00787AE5"/>
    <w:rsid w:val="007932F5"/>
    <w:rsid w:val="007A0DDA"/>
    <w:rsid w:val="007D2748"/>
    <w:rsid w:val="007D66E7"/>
    <w:rsid w:val="007D6DAB"/>
    <w:rsid w:val="007E1115"/>
    <w:rsid w:val="00811688"/>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42AD8"/>
    <w:rsid w:val="00A76148"/>
    <w:rsid w:val="00B02F12"/>
    <w:rsid w:val="00B0323A"/>
    <w:rsid w:val="00B03DB5"/>
    <w:rsid w:val="00B721C4"/>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140"/>
    <w:rsid w:val="00E0593F"/>
    <w:rsid w:val="00E17D20"/>
    <w:rsid w:val="00E43E52"/>
    <w:rsid w:val="00EE4791"/>
    <w:rsid w:val="00EF021E"/>
    <w:rsid w:val="00EF405B"/>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23</Pages>
  <Words>63891</Words>
  <Characters>36418</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24</cp:revision>
  <dcterms:created xsi:type="dcterms:W3CDTF">2025-06-23T04:49:00Z</dcterms:created>
  <dcterms:modified xsi:type="dcterms:W3CDTF">2025-11-03T06:20:00Z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