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01B85EF1" w:rsidR="008267F0" w:rsidRPr="001022E8" w:rsidRDefault="007333E5" w:rsidP="001022E8">
          <w:pPr>
            <w:tabs>
              <w:tab w:val="left" w:pos="-3960"/>
              <w:tab w:val="left" w:pos="-3780"/>
            </w:tabs>
            <w:spacing w:after="0" w:line="360" w:lineRule="auto"/>
            <w:ind w:left="6480"/>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F43377">
            <w:rPr>
              <w:rFonts w:ascii="Arial" w:hAnsi="Arial" w:cs="Arial"/>
              <w:sz w:val="24"/>
              <w:szCs w:val="24"/>
              <w:lang w:val="lt-LT"/>
            </w:rPr>
            <w:t>25</w:t>
          </w:r>
          <w:r w:rsidRPr="001022E8">
            <w:rPr>
              <w:rFonts w:ascii="Arial" w:hAnsi="Arial" w:cs="Arial"/>
              <w:sz w:val="24"/>
              <w:szCs w:val="24"/>
              <w:lang w:val="lt-LT"/>
            </w:rPr>
            <w:t>-</w:t>
          </w:r>
          <w:r w:rsidR="006219AE" w:rsidRPr="001022E8">
            <w:rPr>
              <w:rFonts w:ascii="Arial" w:hAnsi="Arial" w:cs="Arial"/>
              <w:sz w:val="24"/>
              <w:szCs w:val="24"/>
              <w:lang w:val="lt-LT"/>
            </w:rPr>
            <w:t xml:space="preserve">  </w:t>
          </w:r>
          <w:r w:rsidRPr="001022E8">
            <w:rPr>
              <w:rFonts w:ascii="Arial" w:hAnsi="Arial" w:cs="Arial"/>
              <w:sz w:val="24"/>
              <w:szCs w:val="24"/>
              <w:lang w:val="lt-LT"/>
            </w:rPr>
            <w:t>-  įsakymu Nr. AV-</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1022E8" w:rsidRDefault="00A21BFA" w:rsidP="00F43377">
                    <w:pPr>
                      <w:pStyle w:val="Betarp"/>
                      <w:spacing w:line="360" w:lineRule="auto"/>
                      <w:ind w:right="-821" w:hanging="18"/>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tc>
              <w:tcPr>
                <w:tcW w:w="8943" w:type="dxa"/>
                <w:tcMar>
                  <w:top w:w="216" w:type="dxa"/>
                  <w:left w:w="115" w:type="dxa"/>
                  <w:bottom w:w="216" w:type="dxa"/>
                  <w:right w:w="115" w:type="dxa"/>
                </w:tcMar>
              </w:tcPr>
              <w:p w14:paraId="711EF4C4" w14:textId="33205C06" w:rsidR="00184B8C" w:rsidRPr="001022E8" w:rsidRDefault="00184B8C" w:rsidP="001022E8">
                <w:pPr>
                  <w:pStyle w:val="Betarp"/>
                  <w:spacing w:line="360" w:lineRule="auto"/>
                  <w:rPr>
                    <w:rFonts w:ascii="Arial" w:hAnsi="Arial" w:cs="Arial"/>
                    <w:sz w:val="24"/>
                    <w:szCs w:val="24"/>
                    <w:lang w:val="lt-LT"/>
                  </w:rPr>
                </w:pPr>
              </w:p>
            </w:tc>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6DF0137" w:rsidR="00B47B9A" w:rsidRPr="001022E8" w:rsidRDefault="00FE2F38" w:rsidP="001022E8">
          <w:pPr>
            <w:pStyle w:val="Turinys1"/>
            <w:spacing w:line="36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120C0C12" w14:textId="7D20E0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7337CFA6" w14:textId="535FF2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F260D97" w14:textId="41459A0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1E41E1E" w14:textId="13C18DB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17642A96" w14:textId="221223D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78C26D1E" w14:textId="7AC8806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55E113AE" w14:textId="7CB4FF01"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36BCD6C0" w14:textId="5066946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7</w:t>
            </w:r>
            <w:r w:rsidR="00B47B9A" w:rsidRPr="001022E8">
              <w:rPr>
                <w:rFonts w:ascii="Arial" w:hAnsi="Arial" w:cs="Arial"/>
                <w:webHidden/>
                <w:sz w:val="24"/>
                <w:szCs w:val="24"/>
              </w:rPr>
              <w:fldChar w:fldCharType="end"/>
            </w:r>
          </w:hyperlink>
        </w:p>
        <w:p w14:paraId="058743BE" w14:textId="670DDED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8</w:t>
            </w:r>
            <w:r w:rsidR="00B47B9A" w:rsidRPr="001022E8">
              <w:rPr>
                <w:rFonts w:ascii="Arial" w:hAnsi="Arial" w:cs="Arial"/>
                <w:webHidden/>
                <w:sz w:val="24"/>
                <w:szCs w:val="24"/>
              </w:rPr>
              <w:fldChar w:fldCharType="end"/>
            </w:r>
          </w:hyperlink>
        </w:p>
        <w:p w14:paraId="313E8825" w14:textId="6F30D24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46F9CF27" w14:textId="21806F7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788CF198" w14:textId="2614566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521D39AC" w14:textId="67578ED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3A533A" w14:textId="307F990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97A672" w14:textId="61F613E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42D93D1A" w14:textId="6D1CE554"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2309F88C" w14:textId="470A379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13</w:t>
            </w:r>
            <w:r w:rsidR="00B47B9A" w:rsidRPr="001022E8">
              <w:rPr>
                <w:rFonts w:ascii="Arial" w:hAnsi="Arial" w:cs="Arial"/>
                <w:webHidden/>
                <w:sz w:val="24"/>
                <w:szCs w:val="24"/>
              </w:rPr>
              <w:fldChar w:fldCharType="end"/>
            </w:r>
          </w:hyperlink>
        </w:p>
        <w:p w14:paraId="5090CE21" w14:textId="6727CC4F"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14</w:t>
            </w:r>
            <w:r w:rsidR="00B47B9A" w:rsidRPr="001022E8">
              <w:rPr>
                <w:rFonts w:ascii="Arial" w:hAnsi="Arial" w:cs="Arial"/>
                <w:webHidden/>
                <w:sz w:val="24"/>
                <w:szCs w:val="24"/>
              </w:rPr>
              <w:fldChar w:fldCharType="end"/>
            </w:r>
          </w:hyperlink>
        </w:p>
        <w:p w14:paraId="5E409576" w14:textId="2F44BDB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6EB2C906" w14:textId="38DD29E2"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5BD6E05E" w14:textId="07F1989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16</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lastRenderedPageBreak/>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w:t>
      </w:r>
      <w:r w:rsidRPr="001022E8">
        <w:rPr>
          <w:rFonts w:ascii="Arial" w:eastAsia="Calibri" w:hAnsi="Arial" w:cs="Arial"/>
          <w:sz w:val="24"/>
          <w:szCs w:val="24"/>
          <w:lang w:val="lt-LT"/>
        </w:rPr>
        <w:lastRenderedPageBreak/>
        <w:t>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1022E8">
        <w:rPr>
          <w:rFonts w:ascii="Arial" w:hAnsi="Arial" w:cs="Arial"/>
          <w:b/>
          <w:sz w:val="24"/>
          <w:szCs w:val="24"/>
          <w:lang w:val="lt-LT"/>
        </w:rPr>
        <w:t>Kvazisubtiekėjas</w:t>
      </w:r>
      <w:proofErr w:type="spellEnd"/>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w:t>
      </w:r>
      <w:r w:rsidR="00DC3CC2" w:rsidRPr="001022E8">
        <w:rPr>
          <w:rFonts w:ascii="Arial" w:hAnsi="Arial" w:cs="Arial"/>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lastRenderedPageBreak/>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lastRenderedPageBreak/>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w:t>
      </w:r>
      <w:proofErr w:type="spellStart"/>
      <w:r w:rsidR="00622A08" w:rsidRPr="001022E8">
        <w:rPr>
          <w:rFonts w:ascii="Arial" w:hAnsi="Arial" w:cs="Arial"/>
          <w:sz w:val="24"/>
          <w:szCs w:val="24"/>
          <w:lang w:val="lt-LT"/>
        </w:rPr>
        <w:t>kvazisubtiekėjai</w:t>
      </w:r>
      <w:proofErr w:type="spellEnd"/>
      <w:r w:rsidR="00622A08" w:rsidRPr="001022E8">
        <w:rPr>
          <w:rFonts w:ascii="Arial" w:hAnsi="Arial" w:cs="Arial"/>
          <w:sz w:val="24"/>
          <w:szCs w:val="24"/>
          <w:lang w:val="lt-LT"/>
        </w:rPr>
        <w:t>)</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w:t>
      </w:r>
      <w:r w:rsidR="00546C35" w:rsidRPr="001022E8">
        <w:rPr>
          <w:rFonts w:ascii="Arial" w:eastAsia="Calibri" w:hAnsi="Arial" w:cs="Arial"/>
          <w:sz w:val="24"/>
          <w:szCs w:val="24"/>
          <w:lang w:val="lt-LT"/>
        </w:rPr>
        <w:lastRenderedPageBreak/>
        <w:t xml:space="preserve">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w:t>
      </w:r>
      <w:proofErr w:type="spellStart"/>
      <w:r w:rsidR="00D21561" w:rsidRPr="001022E8">
        <w:rPr>
          <w:rFonts w:ascii="Arial" w:hAnsi="Arial" w:cs="Arial"/>
          <w:sz w:val="24"/>
          <w:szCs w:val="24"/>
          <w:lang w:val="lt-LT"/>
        </w:rPr>
        <w:t>kvazisubtiekėjai</w:t>
      </w:r>
      <w:proofErr w:type="spellEnd"/>
      <w:r w:rsidR="00D21561" w:rsidRPr="001022E8">
        <w:rPr>
          <w:rFonts w:ascii="Arial" w:hAnsi="Arial" w:cs="Arial"/>
          <w:sz w:val="24"/>
          <w:szCs w:val="24"/>
          <w:lang w:val="lt-LT"/>
        </w:rPr>
        <w:t>)</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lastRenderedPageBreak/>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lastRenderedPageBreak/>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 xml:space="preserve">darbo dienos) nepateiks tokių įrodymų arba nepateiks pagrįstų argumentų </w:t>
      </w:r>
      <w:r w:rsidR="00254D55" w:rsidRPr="001022E8">
        <w:rPr>
          <w:rFonts w:ascii="Arial" w:hAnsi="Arial" w:cs="Arial"/>
          <w:sz w:val="24"/>
          <w:szCs w:val="24"/>
          <w:lang w:val="lt-LT"/>
        </w:rPr>
        <w:lastRenderedPageBreak/>
        <w:t>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1022E8">
        <w:rPr>
          <w:rFonts w:ascii="Arial" w:hAnsi="Arial" w:cs="Arial"/>
          <w:sz w:val="24"/>
          <w:szCs w:val="24"/>
          <w:lang w:val="lt-LT"/>
        </w:rPr>
        <w:lastRenderedPageBreak/>
        <w:t xml:space="preserve">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w:t>
      </w:r>
      <w:r w:rsidRPr="001022E8">
        <w:rPr>
          <w:rFonts w:ascii="Arial" w:eastAsia="Times New Roman" w:hAnsi="Arial" w:cs="Arial"/>
          <w:sz w:val="24"/>
          <w:szCs w:val="24"/>
          <w:lang w:val="lt-LT"/>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w:t>
      </w:r>
      <w:r w:rsidR="0017028B" w:rsidRPr="001022E8">
        <w:rPr>
          <w:rFonts w:ascii="Arial" w:eastAsia="Times New Roman" w:hAnsi="Arial" w:cs="Arial"/>
          <w:sz w:val="24"/>
          <w:szCs w:val="24"/>
          <w:lang w:val="lt-LT"/>
        </w:rPr>
        <w:lastRenderedPageBreak/>
        <w:t xml:space="preserve">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lastRenderedPageBreak/>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lastRenderedPageBreak/>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santykį ir perkančioji 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lastRenderedPageBreak/>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4113367B" w14:textId="1BBCB449" w:rsidR="00E6583D" w:rsidRPr="001022E8" w:rsidRDefault="00A93550"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lastRenderedPageBreak/>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lastRenderedPageBreak/>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 xml:space="preserve">jei, jų nebuvo paprašyta ir nebuvo įvertinta ankstesniuose pirkimo </w:t>
      </w:r>
      <w:r w:rsidR="009B1639" w:rsidRPr="001022E8">
        <w:rPr>
          <w:rFonts w:ascii="Arial" w:eastAsia="Calibri" w:hAnsi="Arial" w:cs="Arial"/>
          <w:sz w:val="24"/>
          <w:szCs w:val="24"/>
          <w:lang w:val="lt-LT"/>
        </w:rPr>
        <w:lastRenderedPageBreak/>
        <w:t>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1646DA1A" w14:textId="3D06AE18" w:rsidR="009B1639" w:rsidRPr="001022E8" w:rsidRDefault="00336316" w:rsidP="00F43377">
      <w:pPr>
        <w:pStyle w:val="Sraopastraipa"/>
        <w:spacing w:after="12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sectPr w:rsidR="009B1639" w:rsidRPr="001022E8"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9FC0" w14:textId="77777777" w:rsidR="00BB30B1" w:rsidRDefault="00BB30B1" w:rsidP="00184B8C">
      <w:pPr>
        <w:spacing w:after="0" w:line="240" w:lineRule="auto"/>
      </w:pPr>
      <w:r>
        <w:separator/>
      </w:r>
    </w:p>
  </w:endnote>
  <w:endnote w:type="continuationSeparator" w:id="0">
    <w:p w14:paraId="31444BC1" w14:textId="77777777" w:rsidR="00BB30B1" w:rsidRDefault="00BB30B1" w:rsidP="00184B8C">
      <w:pPr>
        <w:spacing w:after="0" w:line="240" w:lineRule="auto"/>
      </w:pPr>
      <w:r>
        <w:continuationSeparator/>
      </w:r>
    </w:p>
  </w:endnote>
  <w:endnote w:type="continuationNotice" w:id="1">
    <w:p w14:paraId="37D401C4" w14:textId="77777777" w:rsidR="00BB30B1" w:rsidRDefault="00BB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6EBD" w14:textId="77777777" w:rsidR="00BB30B1" w:rsidRDefault="00BB30B1" w:rsidP="00184B8C">
      <w:pPr>
        <w:spacing w:after="0" w:line="240" w:lineRule="auto"/>
      </w:pPr>
      <w:r>
        <w:separator/>
      </w:r>
    </w:p>
  </w:footnote>
  <w:footnote w:type="continuationSeparator" w:id="0">
    <w:p w14:paraId="5BB75D46" w14:textId="77777777" w:rsidR="00BB30B1" w:rsidRDefault="00BB30B1" w:rsidP="00184B8C">
      <w:pPr>
        <w:spacing w:after="0" w:line="240" w:lineRule="auto"/>
      </w:pPr>
      <w:r>
        <w:continuationSeparator/>
      </w:r>
    </w:p>
  </w:footnote>
  <w:footnote w:type="continuationNotice" w:id="1">
    <w:p w14:paraId="325E633C" w14:textId="77777777" w:rsidR="00BB30B1" w:rsidRDefault="00BB30B1">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F43377">
        <w:rPr>
          <w:lang w:val="lt-LT"/>
        </w:rPr>
        <w:t xml:space="preserve">Instrukcija: </w:t>
      </w:r>
      <w:hyperlink r:id="rId1" w:history="1">
        <w:r w:rsidR="00C862E8" w:rsidRPr="00F43377">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F43377">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9B8"/>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0A3"/>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377"/>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339B8"/>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66DA2"/>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43246</Words>
  <Characters>24651</Characters>
  <Application>Microsoft Office Word</Application>
  <DocSecurity>0</DocSecurity>
  <Lines>205</Lines>
  <Paragraphs>135</Paragraphs>
  <ScaleCrop>false</ScaleCrop>
  <Company/>
  <LinksUpToDate>false</LinksUpToDate>
  <CharactersWithSpaces>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23</cp:revision>
  <dcterms:created xsi:type="dcterms:W3CDTF">2024-12-30T11:14:00Z</dcterms:created>
  <dcterms:modified xsi:type="dcterms:W3CDTF">2025-06-11T05:27:00Z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