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475" w14:textId="77777777" w:rsidR="00787293" w:rsidRDefault="00787293" w:rsidP="001A64AC">
      <w:pPr>
        <w:spacing w:after="480" w:line="240" w:lineRule="auto"/>
        <w:jc w:val="right"/>
        <w:rPr>
          <w:rFonts w:ascii="Times New Roman" w:eastAsia="Calibri" w:hAnsi="Times New Roman"/>
          <w:b/>
          <w:bCs/>
          <w:color w:val="000000"/>
          <w:sz w:val="24"/>
          <w:szCs w:val="24"/>
        </w:rPr>
      </w:pPr>
      <w:r>
        <w:rPr>
          <w:rFonts w:ascii="Times New Roman" w:eastAsia="Calibri" w:hAnsi="Times New Roman"/>
          <w:b/>
          <w:bCs/>
          <w:color w:val="000000"/>
          <w:sz w:val="24"/>
          <w:szCs w:val="24"/>
        </w:rPr>
        <w:t>Preliminariosios sutarties 2 priedas</w:t>
      </w:r>
    </w:p>
    <w:p w14:paraId="30CA9E0E" w14:textId="2BC352F8" w:rsidR="00D81E9B" w:rsidRPr="00787293" w:rsidRDefault="005B486C" w:rsidP="001A64AC">
      <w:pPr>
        <w:spacing w:after="360" w:line="240" w:lineRule="auto"/>
        <w:jc w:val="center"/>
        <w:rPr>
          <w:rFonts w:ascii="Times New Roman" w:hAnsi="Times New Roman"/>
          <w:b/>
          <w:bCs/>
          <w:sz w:val="24"/>
          <w:szCs w:val="24"/>
        </w:rPr>
      </w:pPr>
      <w:r w:rsidRPr="005B486C">
        <w:rPr>
          <w:rFonts w:ascii="Times New Roman" w:hAnsi="Times New Roman"/>
          <w:b/>
          <w:bCs/>
          <w:sz w:val="24"/>
          <w:szCs w:val="24"/>
        </w:rPr>
        <w:t>MAŽOSIOS ARCHITEKTŪROS STATINIŲ ĮRENGIMAS POILSIO SKVERE PRIE VANDENS VIENOŽINSKIO G. RAUDONDVARIO K.</w:t>
      </w:r>
      <w:r w:rsidRPr="00A36AD1">
        <w:rPr>
          <w:rFonts w:eastAsia="Calibri"/>
          <w:b/>
          <w:bCs/>
          <w:color w:val="000000"/>
        </w:rPr>
        <w:t xml:space="preserve"> </w:t>
      </w:r>
      <w:r w:rsidR="00D12918" w:rsidRPr="00D12918">
        <w:rPr>
          <w:rFonts w:ascii="Times New Roman" w:eastAsia="Calibri" w:hAnsi="Times New Roman"/>
          <w:b/>
          <w:bCs/>
          <w:color w:val="000000"/>
          <w:sz w:val="24"/>
          <w:szCs w:val="24"/>
        </w:rPr>
        <w:t>VIEŠ</w:t>
      </w:r>
      <w:r w:rsidR="00D12918">
        <w:rPr>
          <w:rFonts w:ascii="Times New Roman" w:eastAsia="Calibri" w:hAnsi="Times New Roman"/>
          <w:b/>
          <w:bCs/>
          <w:color w:val="000000"/>
          <w:sz w:val="24"/>
          <w:szCs w:val="24"/>
        </w:rPr>
        <w:t>OJO</w:t>
      </w:r>
      <w:r w:rsidR="00D12918" w:rsidRPr="00D12918">
        <w:rPr>
          <w:rFonts w:ascii="Times New Roman" w:eastAsia="Calibri" w:hAnsi="Times New Roman"/>
          <w:b/>
          <w:bCs/>
          <w:color w:val="000000"/>
          <w:sz w:val="24"/>
          <w:szCs w:val="24"/>
        </w:rPr>
        <w:t xml:space="preserve"> PIRKIM</w:t>
      </w:r>
      <w:r w:rsidR="00D12918">
        <w:rPr>
          <w:rFonts w:ascii="Times New Roman" w:eastAsia="Calibri" w:hAnsi="Times New Roman"/>
          <w:b/>
          <w:bCs/>
          <w:color w:val="000000"/>
          <w:sz w:val="24"/>
          <w:szCs w:val="24"/>
        </w:rPr>
        <w:t xml:space="preserve">O </w:t>
      </w:r>
      <w:r w:rsidR="00787293" w:rsidRPr="00076203">
        <w:rPr>
          <w:rFonts w:ascii="Times New Roman" w:hAnsi="Times New Roman"/>
          <w:b/>
          <w:bCs/>
          <w:sz w:val="24"/>
          <w:szCs w:val="24"/>
          <w:u w:val="single"/>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3C0B677D"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w:t>
      </w:r>
      <w:r w:rsidR="00D12918">
        <w:rPr>
          <w:lang w:eastAsia="en-US"/>
        </w:rPr>
        <w:t>kelbiamos apklausos</w:t>
      </w:r>
      <w:r>
        <w:rPr>
          <w:lang w:eastAsia="en-US"/>
        </w:rPr>
        <w:t xml:space="preserve"> konkurso „</w:t>
      </w:r>
      <w:r w:rsidR="005B486C" w:rsidRPr="0087024C">
        <w:t xml:space="preserve">mažosios architektūros statinių įrengimas poilsio skvere prie vandens </w:t>
      </w:r>
      <w:r w:rsidR="005B486C">
        <w:t>V</w:t>
      </w:r>
      <w:r w:rsidR="005B486C" w:rsidRPr="0087024C">
        <w:t>ie</w:t>
      </w:r>
      <w:r w:rsidR="005B486C">
        <w:t>n</w:t>
      </w:r>
      <w:r w:rsidR="005B486C" w:rsidRPr="0087024C">
        <w:t xml:space="preserve">ožinskio g. </w:t>
      </w:r>
      <w:r w:rsidR="005B486C">
        <w:t>R</w:t>
      </w:r>
      <w:r w:rsidR="005B486C" w:rsidRPr="0087024C">
        <w:t>audondvario k.</w:t>
      </w:r>
      <w:r w:rsidR="005B486C" w:rsidRPr="00A36AD1">
        <w:rPr>
          <w:rFonts w:eastAsia="Calibri"/>
          <w:b/>
          <w:bCs/>
          <w:color w:val="000000"/>
        </w:rPr>
        <w:t xml:space="preserve"> </w:t>
      </w:r>
      <w:r w:rsidR="00D12918" w:rsidRPr="00D12918">
        <w:t>viešąjį pirkimą</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21B35">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3A7FF833" w:rsidR="00203225"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5B486C" w:rsidRPr="005B486C">
              <w:rPr>
                <w:rFonts w:ascii="Times New Roman" w:hAnsi="Times New Roman"/>
                <w:sz w:val="24"/>
                <w:szCs w:val="24"/>
              </w:rPr>
              <w:t>mažosios architektūros statinių įrengimas poilsio skvere prie vandens Vienožinskio g. Raudondvario k. supaprastinto techninio darbo parengimas su rangos darbais (su mažosios architektūros gaminimu ir pastatymu, jos pristatymu ir montavimu) sklype</w:t>
            </w:r>
            <w:r w:rsidR="004C2A63" w:rsidRPr="005B486C">
              <w:rPr>
                <w:rFonts w:ascii="Times New Roman" w:hAnsi="Times New Roman"/>
                <w:sz w:val="24"/>
                <w:szCs w:val="24"/>
              </w:rPr>
              <w:t>.</w:t>
            </w:r>
            <w:r w:rsidR="004C2A63">
              <w:rPr>
                <w:rFonts w:ascii="Times New Roman" w:hAnsi="Times New Roman"/>
                <w:sz w:val="24"/>
              </w:rPr>
              <w:t xml:space="preserve"> Taip pat d</w:t>
            </w:r>
            <w:r w:rsidR="004C2A63" w:rsidRPr="004C2A63">
              <w:rPr>
                <w:rFonts w:ascii="Times New Roman" w:hAnsi="Times New Roman"/>
                <w:sz w:val="24"/>
              </w:rPr>
              <w:t>okumentų reikalingų statybos užbaigimo procedūrai tinkamai įvykdyti parengimas</w:t>
            </w:r>
            <w:r w:rsidR="00573923" w:rsidRPr="00573923">
              <w:rPr>
                <w:rFonts w:ascii="Times New Roman" w:hAnsi="Times New Roman"/>
                <w:sz w:val="24"/>
              </w:rPr>
              <w:t xml:space="preserve"> (toliau – Darbai).</w:t>
            </w:r>
            <w:r w:rsidR="004C2A63">
              <w:rPr>
                <w:rFonts w:ascii="Times New Roman" w:hAnsi="Times New Roman"/>
                <w:sz w:val="24"/>
              </w:rPr>
              <w:t xml:space="preserve"> </w:t>
            </w:r>
          </w:p>
          <w:p w14:paraId="3A9ED806" w14:textId="191A2D14"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0"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0"/>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1"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1"/>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CC7E7F">
            <w:pPr>
              <w:tabs>
                <w:tab w:val="left" w:pos="426"/>
                <w:tab w:val="left" w:pos="1134"/>
              </w:tabs>
              <w:suppressAutoHyphens/>
              <w:autoSpaceDN w:val="0"/>
              <w:spacing w:after="120" w:line="240" w:lineRule="auto"/>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26E07F1A" w:rsidR="0065579B" w:rsidRPr="00212830"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rPr>
            </w:pPr>
            <w:r w:rsidRPr="00212830">
              <w:rPr>
                <w:rFonts w:ascii="Times New Roman" w:hAnsi="Times New Roman"/>
                <w:bCs/>
                <w:sz w:val="24"/>
                <w:lang w:val="lt-LT"/>
              </w:rPr>
              <w:t xml:space="preserve">supaprastintas statybos projektas turi būti parengtas per </w:t>
            </w:r>
            <w:r w:rsidR="005B486C" w:rsidRPr="00212830">
              <w:rPr>
                <w:rFonts w:ascii="Times New Roman" w:hAnsi="Times New Roman"/>
                <w:bCs/>
                <w:sz w:val="24"/>
                <w:lang w:val="lt-LT"/>
              </w:rPr>
              <w:t>3</w:t>
            </w:r>
            <w:r w:rsidRPr="00212830">
              <w:rPr>
                <w:rFonts w:ascii="Times New Roman" w:hAnsi="Times New Roman"/>
                <w:bCs/>
                <w:sz w:val="24"/>
                <w:lang w:val="lt-LT"/>
              </w:rPr>
              <w:t xml:space="preserve"> (</w:t>
            </w:r>
            <w:r w:rsidR="005B486C" w:rsidRPr="00212830">
              <w:rPr>
                <w:rFonts w:ascii="Times New Roman" w:hAnsi="Times New Roman"/>
                <w:bCs/>
                <w:sz w:val="24"/>
                <w:lang w:val="lt-LT"/>
              </w:rPr>
              <w:t>tris</w:t>
            </w:r>
            <w:r w:rsidRPr="00212830">
              <w:rPr>
                <w:rFonts w:ascii="Times New Roman" w:hAnsi="Times New Roman"/>
                <w:bCs/>
                <w:sz w:val="24"/>
                <w:lang w:val="lt-LT"/>
              </w:rPr>
              <w:t>) mėn</w:t>
            </w:r>
            <w:r w:rsidR="00212830" w:rsidRPr="00212830">
              <w:rPr>
                <w:rFonts w:ascii="Times New Roman" w:hAnsi="Times New Roman"/>
                <w:bCs/>
                <w:sz w:val="24"/>
                <w:lang w:val="lt-LT"/>
              </w:rPr>
              <w:t>esius</w:t>
            </w:r>
            <w:r w:rsidRPr="00212830">
              <w:rPr>
                <w:rFonts w:ascii="Times New Roman" w:hAnsi="Times New Roman"/>
                <w:bCs/>
                <w:sz w:val="24"/>
                <w:lang w:val="lt-LT"/>
              </w:rPr>
              <w:t xml:space="preserve">, nuo pirkimo sutarties pasirašymo dienos. Parengtą Projektą perduoti derinti su Kauno rajono savivaldybės </w:t>
            </w:r>
            <w:proofErr w:type="spellStart"/>
            <w:r w:rsidR="00C801E7" w:rsidRPr="00C801E7">
              <w:rPr>
                <w:rFonts w:ascii="Times New Roman" w:hAnsi="Times New Roman"/>
                <w:bCs/>
                <w:sz w:val="24"/>
              </w:rPr>
              <w:t>urbanistikos</w:t>
            </w:r>
            <w:proofErr w:type="spellEnd"/>
            <w:r w:rsidR="00C801E7" w:rsidRPr="00C801E7">
              <w:rPr>
                <w:rFonts w:ascii="Times New Roman" w:hAnsi="Times New Roman"/>
                <w:bCs/>
                <w:sz w:val="24"/>
              </w:rPr>
              <w:t xml:space="preserve"> </w:t>
            </w:r>
            <w:proofErr w:type="spellStart"/>
            <w:r w:rsidR="00C801E7" w:rsidRPr="00C801E7">
              <w:rPr>
                <w:rFonts w:ascii="Times New Roman" w:hAnsi="Times New Roman"/>
                <w:bCs/>
                <w:sz w:val="24"/>
              </w:rPr>
              <w:t>skyriumi</w:t>
            </w:r>
            <w:proofErr w:type="spellEnd"/>
            <w:r w:rsidRPr="00C801E7">
              <w:rPr>
                <w:rFonts w:ascii="Times New Roman" w:hAnsi="Times New Roman"/>
                <w:bCs/>
                <w:sz w:val="24"/>
                <w:lang w:val="lt-LT"/>
              </w:rPr>
              <w:t>.</w:t>
            </w:r>
            <w:r w:rsidRPr="00212830">
              <w:rPr>
                <w:rFonts w:ascii="Times New Roman" w:hAnsi="Times New Roman"/>
                <w:bCs/>
                <w:sz w:val="24"/>
                <w:lang w:val="lt-LT"/>
              </w:rPr>
              <w:t xml:space="preserve"> </w:t>
            </w:r>
            <w:proofErr w:type="spellStart"/>
            <w:r w:rsidRPr="00212830">
              <w:rPr>
                <w:rFonts w:ascii="Times New Roman" w:hAnsi="Times New Roman"/>
                <w:bCs/>
                <w:sz w:val="24"/>
              </w:rPr>
              <w:t>Perkančioji</w:t>
            </w:r>
            <w:proofErr w:type="spellEnd"/>
            <w:r w:rsidRPr="00212830">
              <w:rPr>
                <w:rFonts w:ascii="Times New Roman" w:hAnsi="Times New Roman"/>
                <w:bCs/>
                <w:sz w:val="24"/>
              </w:rPr>
              <w:t xml:space="preserve"> </w:t>
            </w:r>
            <w:proofErr w:type="spellStart"/>
            <w:r w:rsidRPr="00212830">
              <w:rPr>
                <w:rFonts w:ascii="Times New Roman" w:hAnsi="Times New Roman"/>
                <w:bCs/>
                <w:sz w:val="24"/>
              </w:rPr>
              <w:t>organizacija</w:t>
            </w:r>
            <w:proofErr w:type="spellEnd"/>
            <w:r w:rsidRPr="00212830">
              <w:rPr>
                <w:rFonts w:ascii="Times New Roman" w:hAnsi="Times New Roman"/>
                <w:bCs/>
                <w:sz w:val="24"/>
              </w:rPr>
              <w:t xml:space="preserve"> </w:t>
            </w:r>
            <w:proofErr w:type="spellStart"/>
            <w:r w:rsidRPr="00212830">
              <w:rPr>
                <w:rFonts w:ascii="Times New Roman" w:hAnsi="Times New Roman"/>
                <w:bCs/>
                <w:sz w:val="24"/>
              </w:rPr>
              <w:t>perduoda</w:t>
            </w:r>
            <w:proofErr w:type="spellEnd"/>
            <w:r w:rsidRPr="00212830">
              <w:rPr>
                <w:rFonts w:ascii="Times New Roman" w:hAnsi="Times New Roman"/>
                <w:bCs/>
                <w:sz w:val="24"/>
              </w:rPr>
              <w:t xml:space="preserve"> </w:t>
            </w:r>
            <w:proofErr w:type="spellStart"/>
            <w:r w:rsidRPr="00212830">
              <w:rPr>
                <w:rFonts w:ascii="Times New Roman" w:hAnsi="Times New Roman"/>
                <w:bCs/>
                <w:sz w:val="24"/>
              </w:rPr>
              <w:t>Projektą</w:t>
            </w:r>
            <w:proofErr w:type="spellEnd"/>
            <w:r w:rsidRPr="00212830">
              <w:rPr>
                <w:rFonts w:ascii="Times New Roman" w:hAnsi="Times New Roman"/>
                <w:bCs/>
                <w:sz w:val="24"/>
              </w:rPr>
              <w:t xml:space="preserve"> </w:t>
            </w:r>
            <w:proofErr w:type="spellStart"/>
            <w:r w:rsidRPr="00212830">
              <w:rPr>
                <w:rFonts w:ascii="Times New Roman" w:hAnsi="Times New Roman"/>
                <w:bCs/>
                <w:sz w:val="24"/>
              </w:rPr>
              <w:t>ekspertizei</w:t>
            </w:r>
            <w:proofErr w:type="spellEnd"/>
            <w:r w:rsidRPr="00212830">
              <w:rPr>
                <w:rFonts w:ascii="Times New Roman" w:hAnsi="Times New Roman"/>
                <w:bCs/>
                <w:sz w:val="24"/>
              </w:rPr>
              <w:t xml:space="preserve">. </w:t>
            </w:r>
          </w:p>
          <w:p w14:paraId="7F059E26" w14:textId="413040B5" w:rsidR="00CC7E7F" w:rsidRPr="00CC7E7F"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pt-BR"/>
              </w:rPr>
            </w:pPr>
            <w:r w:rsidRPr="00CC7E7F">
              <w:rPr>
                <w:rFonts w:ascii="Times New Roman" w:hAnsi="Times New Roman"/>
                <w:bCs/>
                <w:sz w:val="24"/>
                <w:lang w:val="pt-BR"/>
              </w:rPr>
              <w:t>rangos darbų atlikimo terminas – 11 (vienuolika) mėn</w:t>
            </w:r>
            <w:r w:rsidR="00212830">
              <w:rPr>
                <w:rFonts w:ascii="Times New Roman" w:hAnsi="Times New Roman"/>
                <w:bCs/>
                <w:sz w:val="24"/>
                <w:lang w:val="pt-BR"/>
              </w:rPr>
              <w:t>esių</w:t>
            </w:r>
            <w:r w:rsidRPr="00CC7E7F">
              <w:rPr>
                <w:rFonts w:ascii="Times New Roman" w:hAnsi="Times New Roman"/>
                <w:bCs/>
                <w:sz w:val="24"/>
                <w:lang w:val="pt-BR"/>
              </w:rPr>
              <w:t xml:space="preserve"> nuo teigiamos ekspertizės išvados.</w:t>
            </w:r>
          </w:p>
          <w:p w14:paraId="40361819" w14:textId="0112D574" w:rsid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w:t>
            </w:r>
            <w:r w:rsidR="003624C4" w:rsidRPr="00D51E94">
              <w:rPr>
                <w:rFonts w:ascii="Times New Roman" w:hAnsi="Times New Roman"/>
                <w:sz w:val="24"/>
                <w:szCs w:val="24"/>
              </w:rPr>
              <w:lastRenderedPageBreak/>
              <w:t xml:space="preserve">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54D748A1" w14:textId="4CD5F4E9" w:rsidR="005B486C" w:rsidRPr="005B486C" w:rsidRDefault="005B486C" w:rsidP="003624C4">
            <w:pPr>
              <w:tabs>
                <w:tab w:val="left" w:pos="426"/>
                <w:tab w:val="left" w:pos="1134"/>
              </w:tabs>
              <w:suppressAutoHyphens/>
              <w:autoSpaceDN w:val="0"/>
              <w:spacing w:after="120" w:line="240" w:lineRule="auto"/>
              <w:jc w:val="both"/>
              <w:textAlignment w:val="baseline"/>
              <w:rPr>
                <w:rFonts w:ascii="Times New Roman" w:hAnsi="Times New Roman"/>
                <w:b/>
                <w:bCs/>
                <w:sz w:val="24"/>
                <w:szCs w:val="24"/>
                <w:lang w:eastAsia="en-US"/>
              </w:rPr>
            </w:pPr>
            <w:bookmarkStart w:id="2" w:name="_Hlk208395276"/>
            <w:r w:rsidRPr="001D3A5A">
              <w:rPr>
                <w:rFonts w:ascii="Times New Roman" w:hAnsi="Times New Roman"/>
                <w:sz w:val="24"/>
                <w:szCs w:val="24"/>
              </w:rPr>
              <w:t xml:space="preserve">Darbų atlikimo terminas gali būti </w:t>
            </w:r>
            <w:r w:rsidRPr="000D387C">
              <w:rPr>
                <w:rFonts w:ascii="Times New Roman" w:hAnsi="Times New Roman"/>
                <w:b/>
                <w:bCs/>
                <w:sz w:val="24"/>
                <w:szCs w:val="24"/>
              </w:rPr>
              <w:t>pratęstas 1</w:t>
            </w:r>
            <w:r>
              <w:rPr>
                <w:rFonts w:ascii="Times New Roman" w:hAnsi="Times New Roman"/>
                <w:b/>
                <w:bCs/>
                <w:sz w:val="24"/>
                <w:szCs w:val="24"/>
              </w:rPr>
              <w:t xml:space="preserve"> kartą 3</w:t>
            </w:r>
            <w:r w:rsidRPr="000D387C">
              <w:rPr>
                <w:rFonts w:ascii="Times New Roman" w:hAnsi="Times New Roman"/>
                <w:b/>
                <w:bCs/>
                <w:sz w:val="24"/>
                <w:szCs w:val="24"/>
              </w:rPr>
              <w:t xml:space="preserve"> (</w:t>
            </w:r>
            <w:r>
              <w:rPr>
                <w:rFonts w:ascii="Times New Roman" w:hAnsi="Times New Roman"/>
                <w:b/>
                <w:bCs/>
                <w:sz w:val="24"/>
                <w:szCs w:val="24"/>
              </w:rPr>
              <w:t>trims</w:t>
            </w:r>
            <w:r w:rsidRPr="000D387C">
              <w:rPr>
                <w:rFonts w:ascii="Times New Roman" w:hAnsi="Times New Roman"/>
                <w:b/>
                <w:bCs/>
                <w:sz w:val="24"/>
                <w:szCs w:val="24"/>
              </w:rPr>
              <w:t>) mėnesi</w:t>
            </w:r>
            <w:r w:rsidR="00F00634">
              <w:rPr>
                <w:rFonts w:ascii="Times New Roman" w:hAnsi="Times New Roman"/>
                <w:b/>
                <w:bCs/>
                <w:sz w:val="24"/>
                <w:szCs w:val="24"/>
              </w:rPr>
              <w:t>ams.</w:t>
            </w:r>
          </w:p>
          <w:p w14:paraId="4CD97E9A" w14:textId="72E44EDE" w:rsidR="003E56E1" w:rsidRPr="0018633A" w:rsidRDefault="003A14AD" w:rsidP="005E1123">
            <w:pPr>
              <w:tabs>
                <w:tab w:val="left" w:pos="142"/>
              </w:tabs>
              <w:spacing w:after="80" w:line="240" w:lineRule="auto"/>
              <w:jc w:val="both"/>
              <w:rPr>
                <w:rFonts w:ascii="Times New Roman" w:hAnsi="Times New Roman"/>
                <w:sz w:val="24"/>
                <w:szCs w:val="24"/>
              </w:rPr>
            </w:pPr>
            <w:bookmarkStart w:id="3" w:name="_Hlk191997632"/>
            <w:bookmarkEnd w:id="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212830" w:rsidRPr="00212830">
              <w:rPr>
                <w:rFonts w:ascii="Times New Roman" w:hAnsi="Times New Roman"/>
                <w:noProof/>
                <w:sz w:val="24"/>
                <w:szCs w:val="24"/>
              </w:rPr>
              <w:t>Vienožinskio g., Raudondvario k., Raudondvario sen., Kauno r.sav., unikalus Nr. 4400-5558-6137</w:t>
            </w:r>
            <w:bookmarkEnd w:id="3"/>
            <w:r w:rsidR="00CC7E7F" w:rsidRPr="00212830">
              <w:rPr>
                <w:rFonts w:ascii="Times New Roman" w:hAnsi="Times New Roman"/>
                <w:sz w:val="24"/>
                <w:szCs w:val="24"/>
                <w:lang w:eastAsia="en-US"/>
              </w:rPr>
              <w:t>.</w:t>
            </w:r>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4"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4"/>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4729EED"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r w:rsidR="007016C9" w:rsidRPr="00BA13D0">
              <w:rPr>
                <w:rFonts w:ascii="Times New Roman" w:hAnsi="Times New Roman"/>
                <w:i/>
                <w:iCs/>
                <w:sz w:val="24"/>
                <w:szCs w:val="24"/>
              </w:rPr>
              <w:t>/nurodyti/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 xml:space="preserve">ir (ar) tretiesiems asmenims, ir (ar) bus pažeisti teisės </w:t>
            </w:r>
            <w:r w:rsidRPr="0018633A">
              <w:rPr>
                <w:rFonts w:ascii="Times New Roman" w:hAnsi="Times New Roman"/>
                <w:sz w:val="24"/>
                <w:szCs w:val="24"/>
              </w:rPr>
              <w:lastRenderedPageBreak/>
              <w:t>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5543E0">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7E2E12F6" w14:textId="3B3760D8" w:rsidR="000A133C" w:rsidRPr="0094703B" w:rsidRDefault="000A133C" w:rsidP="000A133C">
            <w:pPr>
              <w:spacing w:after="120"/>
              <w:jc w:val="both"/>
              <w:rPr>
                <w:rFonts w:ascii="Times New Roman" w:hAnsi="Times New Roman"/>
                <w:bCs/>
                <w:sz w:val="24"/>
                <w:szCs w:val="24"/>
                <w:lang w:bidi="ta-IN"/>
              </w:rPr>
            </w:pPr>
            <w:r w:rsidRPr="0094703B">
              <w:rPr>
                <w:rFonts w:ascii="Times New Roman" w:hAnsi="Times New Roman"/>
                <w:sz w:val="24"/>
                <w:szCs w:val="24"/>
              </w:rPr>
              <w:lastRenderedPageBreak/>
              <w:t>Papildomas darbuotojų draudimas nuo nelaimingų atsitikimų darbe</w:t>
            </w:r>
            <w:r w:rsidRPr="0094703B">
              <w:rPr>
                <w:rFonts w:ascii="Times New Roman" w:hAnsi="Times New Roman"/>
                <w:bCs/>
                <w:sz w:val="24"/>
                <w:szCs w:val="24"/>
                <w:lang w:bidi="ta-IN"/>
              </w:rPr>
              <w:t xml:space="preserve"> (BD 11.3.7 p.): </w:t>
            </w:r>
            <w:r w:rsidRPr="0094703B">
              <w:rPr>
                <w:rFonts w:ascii="Times New Roman" w:hAnsi="Times New Roman"/>
                <w:i/>
                <w:iCs/>
                <w:sz w:val="24"/>
                <w:szCs w:val="24"/>
              </w:rPr>
              <w:t>taikoma/netaikoma.</w:t>
            </w:r>
          </w:p>
          <w:p w14:paraId="3E00C292" w14:textId="4021F085" w:rsidR="000A133C" w:rsidRPr="0018633A" w:rsidRDefault="000A133C" w:rsidP="000A133C">
            <w:pPr>
              <w:spacing w:after="120"/>
              <w:jc w:val="both"/>
              <w:rPr>
                <w:rFonts w:ascii="Times New Roman" w:hAnsi="Times New Roman"/>
                <w:sz w:val="24"/>
                <w:szCs w:val="24"/>
              </w:rPr>
            </w:pPr>
            <w:r w:rsidRPr="0094703B">
              <w:rPr>
                <w:rFonts w:ascii="Times New Roman" w:hAnsi="Times New Roman"/>
                <w:bCs/>
                <w:sz w:val="24"/>
                <w:szCs w:val="24"/>
                <w:lang w:bidi="ta-IN"/>
              </w:rPr>
              <w:t xml:space="preserve">Alkoholio kontrolės darbe sistema (BD 11.3.8 p.): </w:t>
            </w:r>
            <w:r w:rsidRPr="0094703B">
              <w:rPr>
                <w:rFonts w:ascii="Times New Roman" w:hAnsi="Times New Roman"/>
                <w:i/>
                <w:iCs/>
                <w:sz w:val="24"/>
                <w:szCs w:val="24"/>
              </w:rPr>
              <w:t>taikoma/netaikoma.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F705C3">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18633A" w:rsidRDefault="00CC7E7F"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CC7E7F">
              <w:rPr>
                <w:rFonts w:ascii="Times New Roman" w:hAnsi="Times New Roman"/>
                <w:sz w:val="24"/>
                <w:lang w:val="lt-LT"/>
              </w:rPr>
              <w:t>Projektavimo užduotis/Techninė specifikacija</w:t>
            </w:r>
            <w:r>
              <w:rPr>
                <w:rFonts w:ascii="Times New Roman" w:hAnsi="Times New Roman"/>
                <w:sz w:val="24"/>
                <w:lang w:val="lt-LT"/>
              </w:rPr>
              <w:t xml:space="preserve">; </w:t>
            </w:r>
          </w:p>
          <w:p w14:paraId="19824F48" w14:textId="7C69E84E" w:rsidR="000A133C" w:rsidRPr="0018633A" w:rsidRDefault="000A133C" w:rsidP="00F705C3">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p>
          <w:p w14:paraId="272051A0" w14:textId="057BF3D9" w:rsidR="000A133C" w:rsidRPr="0018633A"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 (</w:t>
            </w:r>
            <w:r w:rsidRPr="0018633A">
              <w:rPr>
                <w:rFonts w:ascii="Times New Roman" w:hAnsi="Times New Roman"/>
                <w:i/>
                <w:iCs/>
                <w:spacing w:val="-3"/>
                <w:sz w:val="24"/>
                <w:lang w:val="lt-LT"/>
              </w:rPr>
              <w:t>pateikiama su kiekvienu Darbų priėmimo- perdavimo aktu</w:t>
            </w:r>
            <w:r w:rsidRPr="0018633A">
              <w:rPr>
                <w:rFonts w:ascii="Times New Roman" w:hAnsi="Times New Roman"/>
                <w:spacing w:val="-3"/>
                <w:sz w:val="24"/>
                <w:lang w:val="lt-LT"/>
              </w:rPr>
              <w:t>);</w:t>
            </w:r>
          </w:p>
          <w:p w14:paraId="3D4BB5D7" w14:textId="325363AA" w:rsidR="000A133C" w:rsidRPr="0018633A"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 (</w:t>
            </w:r>
            <w:r w:rsidRPr="0018633A">
              <w:rPr>
                <w:rFonts w:ascii="Times New Roman" w:hAnsi="Times New Roman"/>
                <w:i/>
                <w:iCs/>
                <w:sz w:val="24"/>
                <w:lang w:val="lt-LT"/>
              </w:rPr>
              <w:t xml:space="preserve">kartu su šiuo aktu pasirašoma </w:t>
            </w:r>
            <w:r w:rsidR="002D13B2">
              <w:rPr>
                <w:rFonts w:ascii="Times New Roman" w:hAnsi="Times New Roman"/>
                <w:i/>
                <w:iCs/>
                <w:sz w:val="24"/>
                <w:lang w:val="lt-LT"/>
              </w:rPr>
              <w:t>3</w:t>
            </w:r>
            <w:r w:rsidRPr="0018633A">
              <w:rPr>
                <w:rFonts w:ascii="Times New Roman" w:hAnsi="Times New Roman"/>
                <w:i/>
                <w:iCs/>
                <w:sz w:val="24"/>
                <w:lang w:val="lt-LT"/>
              </w:rPr>
              <w:t xml:space="preserve"> priede pateikta Atliktų darbų akto forma, </w:t>
            </w:r>
            <w:r>
              <w:rPr>
                <w:rFonts w:ascii="Times New Roman" w:hAnsi="Times New Roman"/>
                <w:i/>
                <w:iCs/>
                <w:sz w:val="24"/>
                <w:lang w:val="lt-LT"/>
              </w:rPr>
              <w:t>5</w:t>
            </w:r>
            <w:r w:rsidRPr="0018633A">
              <w:rPr>
                <w:rFonts w:ascii="Times New Roman" w:hAnsi="Times New Roman"/>
                <w:i/>
                <w:iCs/>
                <w:sz w:val="24"/>
                <w:lang w:val="lt-LT"/>
              </w:rPr>
              <w:t xml:space="preserve"> priede pateikta Atliktų darbų ir išlaidų apmokėjimo pažyma</w:t>
            </w:r>
            <w:r w:rsidRPr="0018633A">
              <w:rPr>
                <w:rFonts w:ascii="Times New Roman" w:hAnsi="Times New Roman"/>
                <w:sz w:val="24"/>
                <w:lang w:val="lt-LT"/>
              </w:rPr>
              <w:t>);</w:t>
            </w:r>
          </w:p>
          <w:p w14:paraId="34E39480" w14:textId="2B743AB5" w:rsidR="000A133C" w:rsidRPr="004C2A63" w:rsidRDefault="000A133C" w:rsidP="004C2A6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5D4E751E" w14:textId="7789DF52" w:rsidR="00F705C3" w:rsidRPr="009E0C77" w:rsidRDefault="00F705C3" w:rsidP="00F705C3">
            <w:pPr>
              <w:pStyle w:val="Sraopastraipa"/>
              <w:numPr>
                <w:ilvl w:val="0"/>
                <w:numId w:val="7"/>
              </w:numPr>
              <w:tabs>
                <w:tab w:val="left" w:pos="319"/>
              </w:tabs>
              <w:spacing w:before="0" w:after="0"/>
              <w:ind w:left="6" w:firstLine="0"/>
              <w:rPr>
                <w:rFonts w:ascii="Times New Roman" w:hAnsi="Times New Roman"/>
                <w:color w:val="000000"/>
                <w:sz w:val="24"/>
                <w:lang w:val="lt-LT"/>
              </w:rPr>
            </w:pPr>
            <w:r w:rsidRPr="00F705C3">
              <w:rPr>
                <w:rFonts w:ascii="Times New Roman" w:hAnsi="Times New Roman"/>
                <w:color w:val="000000"/>
                <w:sz w:val="24"/>
                <w:lang w:val="lt-LT"/>
              </w:rPr>
              <w:t>Lokalinės sąmatos (bus pateiktos po Sutarties pasirašymo, žr. Sutarties SD 1.1 punktą).</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1042D50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Pr>
                <w:rFonts w:ascii="Times New Roman" w:hAnsi="Times New Roman"/>
                <w:sz w:val="24"/>
                <w:szCs w:val="24"/>
              </w:rPr>
              <w:t>[</w:t>
            </w:r>
            <w:r w:rsidRPr="00B02167">
              <w:rPr>
                <w:rFonts w:ascii="Times New Roman" w:hAnsi="Times New Roman"/>
                <w:i/>
                <w:iCs/>
                <w:sz w:val="24"/>
                <w:szCs w:val="24"/>
              </w:rPr>
              <w:t>pareigos vardas pavardė, el. p., tel.</w:t>
            </w:r>
            <w:r>
              <w:rPr>
                <w:rFonts w:ascii="Times New Roman" w:hAnsi="Times New Roman"/>
                <w:sz w:val="24"/>
                <w:szCs w:val="24"/>
              </w:rPr>
              <w:t>]</w:t>
            </w:r>
            <w:r w:rsidRPr="0018633A">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0A133C" w:rsidRDefault="000A133C" w:rsidP="000A133C">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0A133C" w:rsidRPr="00B02167" w:rsidRDefault="000A133C" w:rsidP="000A133C">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PVM mok. K</w:t>
            </w:r>
            <w:r>
              <w:rPr>
                <w:rFonts w:ascii="Times New Roman" w:hAnsi="Times New Roman"/>
                <w:bCs/>
                <w:sz w:val="24"/>
                <w:szCs w:val="24"/>
              </w:rPr>
              <w:t>.</w:t>
            </w:r>
          </w:p>
          <w:p w14:paraId="149A9D89" w14:textId="1918A32C"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El. p. </w:t>
            </w:r>
          </w:p>
          <w:p w14:paraId="5D0201FF" w14:textId="654ABED5" w:rsidR="000A133C" w:rsidRPr="0018633A" w:rsidRDefault="000A133C" w:rsidP="000A133C">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Nr. LT</w:t>
            </w:r>
          </w:p>
          <w:p w14:paraId="03A25E66" w14:textId="06A0E3AB" w:rsidR="000A133C" w:rsidRPr="0018633A" w:rsidRDefault="000A133C" w:rsidP="000A133C">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0A133C" w:rsidRPr="0018633A" w:rsidRDefault="000A133C" w:rsidP="000A133C">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212830">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5" w:name="_Hlk201155459"/>
      <w:r w:rsidRPr="003F520F">
        <w:rPr>
          <w:rFonts w:ascii="Times New Roman" w:hAnsi="Times New Roman" w:cs="Times New Roman"/>
          <w:color w:val="auto"/>
        </w:rPr>
        <w:t>patvirtinti atitikties deklaracija raštu.</w:t>
      </w:r>
    </w:p>
    <w:bookmarkEnd w:id="5"/>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C2F9" w14:textId="77777777" w:rsidR="00515BF2" w:rsidRDefault="00515BF2" w:rsidP="00923B55">
      <w:pPr>
        <w:spacing w:after="0" w:line="240" w:lineRule="auto"/>
      </w:pPr>
      <w:r>
        <w:separator/>
      </w:r>
    </w:p>
  </w:endnote>
  <w:endnote w:type="continuationSeparator" w:id="0">
    <w:p w14:paraId="61241A34" w14:textId="77777777" w:rsidR="00515BF2" w:rsidRDefault="00515BF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75F6" w14:textId="77777777" w:rsidR="00515BF2" w:rsidRDefault="00515BF2" w:rsidP="00923B55">
      <w:pPr>
        <w:spacing w:after="0" w:line="240" w:lineRule="auto"/>
      </w:pPr>
      <w:r>
        <w:separator/>
      </w:r>
    </w:p>
  </w:footnote>
  <w:footnote w:type="continuationSeparator" w:id="0">
    <w:p w14:paraId="5F706885" w14:textId="77777777" w:rsidR="00515BF2" w:rsidRDefault="00515BF2"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20"/>
  </w:num>
  <w:num w:numId="7" w16cid:durableId="495001499">
    <w:abstractNumId w:val="10"/>
  </w:num>
  <w:num w:numId="8" w16cid:durableId="1455560643">
    <w:abstractNumId w:val="8"/>
  </w:num>
  <w:num w:numId="9" w16cid:durableId="100995171">
    <w:abstractNumId w:val="18"/>
  </w:num>
  <w:num w:numId="10" w16cid:durableId="200362876">
    <w:abstractNumId w:val="4"/>
  </w:num>
  <w:num w:numId="11" w16cid:durableId="1952395277">
    <w:abstractNumId w:val="22"/>
  </w:num>
  <w:num w:numId="12"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3"/>
  </w:num>
  <w:num w:numId="14" w16cid:durableId="1248880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9"/>
  </w:num>
  <w:num w:numId="16" w16cid:durableId="1706130580">
    <w:abstractNumId w:val="13"/>
  </w:num>
  <w:num w:numId="17" w16cid:durableId="391777348">
    <w:abstractNumId w:val="9"/>
  </w:num>
  <w:num w:numId="18" w16cid:durableId="736392972">
    <w:abstractNumId w:val="21"/>
  </w:num>
  <w:num w:numId="19" w16cid:durableId="1835877068">
    <w:abstractNumId w:val="2"/>
  </w:num>
  <w:num w:numId="20" w16cid:durableId="104034709">
    <w:abstractNumId w:val="11"/>
  </w:num>
  <w:num w:numId="21" w16cid:durableId="1977176516">
    <w:abstractNumId w:val="1"/>
  </w:num>
  <w:num w:numId="22" w16cid:durableId="817654641">
    <w:abstractNumId w:val="3"/>
  </w:num>
  <w:num w:numId="23" w16cid:durableId="1515529732">
    <w:abstractNumId w:val="12"/>
  </w:num>
  <w:num w:numId="24" w16cid:durableId="1711298946">
    <w:abstractNumId w:val="24"/>
  </w:num>
  <w:num w:numId="25" w16cid:durableId="1155027337">
    <w:abstractNumId w:val="17"/>
  </w:num>
  <w:num w:numId="26" w16cid:durableId="1729961007">
    <w:abstractNumId w:val="16"/>
  </w:num>
  <w:num w:numId="27" w16cid:durableId="16473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5360"/>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55A"/>
    <w:rsid w:val="001A56DC"/>
    <w:rsid w:val="001A5D7C"/>
    <w:rsid w:val="001A64AC"/>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5D7B"/>
    <w:rsid w:val="0020676B"/>
    <w:rsid w:val="002102DC"/>
    <w:rsid w:val="00212830"/>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0EF4"/>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5BF2"/>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86C"/>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67C"/>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0EC"/>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B28"/>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01E7"/>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634"/>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53607</Words>
  <Characters>30557</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4</cp:revision>
  <cp:lastPrinted>2024-12-03T09:16:00Z</cp:lastPrinted>
  <dcterms:created xsi:type="dcterms:W3CDTF">2025-08-22T06:10:00Z</dcterms:created>
  <dcterms:modified xsi:type="dcterms:W3CDTF">2025-09-11T07:28:00Z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