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BC" w:rsidRDefault="00D129BC" w:rsidP="00D129BC">
      <w:pPr>
        <w:pBdr>
          <w:top w:val="nil"/>
          <w:left w:val="nil"/>
          <w:bottom w:val="nil"/>
          <w:right w:val="nil"/>
          <w:between w:val="nil"/>
        </w:pBdr>
        <w:jc w:val="center"/>
        <w:rPr>
          <w:rFonts w:ascii="Times New Roman" w:eastAsia="Times New Roman" w:hAnsi="Times New Roman" w:cs="Times New Roman"/>
          <w:b/>
          <w:color w:val="000000"/>
          <w:sz w:val="24"/>
          <w:szCs w:val="24"/>
        </w:rPr>
      </w:pPr>
      <w:bookmarkStart w:id="0" w:name="_heading=h.qdxw3q5bc1q" w:colFirst="0" w:colLast="0"/>
      <w:bookmarkEnd w:id="0"/>
      <w:r>
        <w:rPr>
          <w:rFonts w:ascii="Times New Roman" w:eastAsia="Times New Roman" w:hAnsi="Times New Roman" w:cs="Times New Roman"/>
          <w:b/>
          <w:color w:val="000000"/>
          <w:sz w:val="24"/>
          <w:szCs w:val="24"/>
        </w:rPr>
        <w:t xml:space="preserve">KALVARIJOS GIMNAZIJOS MOKINIŲ PASIEKIMŲ IR ELGESIO GERINIMO PROCESŲ SKAITMENIZAVIMO SISTEMOS TECHNINĖ SPECIFIKACIJA </w:t>
      </w:r>
    </w:p>
    <w:p w:rsidR="00D129BC" w:rsidRDefault="00D129BC" w:rsidP="00D129BC"/>
    <w:p w:rsidR="00D129BC" w:rsidRDefault="00D129BC" w:rsidP="00D129BC">
      <w:pPr>
        <w:keepNext/>
        <w:keepLines/>
        <w:pBdr>
          <w:top w:val="nil"/>
          <w:left w:val="nil"/>
          <w:bottom w:val="nil"/>
          <w:right w:val="nil"/>
          <w:between w:val="nil"/>
        </w:pBdr>
        <w:spacing w:before="24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Turinys</w:t>
      </w:r>
    </w:p>
    <w:p w:rsidR="00D129BC" w:rsidRDefault="00D129BC" w:rsidP="00D129BC"/>
    <w:sdt>
      <w:sdtPr>
        <w:rPr>
          <w:rFonts w:ascii="Arial" w:eastAsia="Arial" w:hAnsi="Arial" w:cs="Arial"/>
          <w:color w:val="auto"/>
          <w:sz w:val="22"/>
          <w:szCs w:val="22"/>
          <w:lang w:val="lt" w:eastAsia="lt-LT"/>
        </w:rPr>
        <w:id w:val="-1835215912"/>
        <w:docPartObj>
          <w:docPartGallery w:val="Table of Contents"/>
          <w:docPartUnique/>
        </w:docPartObj>
      </w:sdtPr>
      <w:sdtEndPr>
        <w:rPr>
          <w:b/>
          <w:bCs/>
          <w:noProof/>
        </w:rPr>
      </w:sdtEndPr>
      <w:sdtContent>
        <w:p w:rsidR="0098051A" w:rsidRDefault="00EE1254">
          <w:pPr>
            <w:pStyle w:val="TOCHeading"/>
          </w:pPr>
          <w:r>
            <w:t>TURINYS</w:t>
          </w:r>
        </w:p>
        <w:p w:rsidR="0098051A" w:rsidRDefault="0098051A">
          <w:pPr>
            <w:pStyle w:val="TOC2"/>
            <w:tabs>
              <w:tab w:val="right" w:leader="dot" w:pos="10174"/>
            </w:tabs>
            <w:rPr>
              <w:noProof/>
            </w:rPr>
          </w:pPr>
          <w:r>
            <w:fldChar w:fldCharType="begin"/>
          </w:r>
          <w:r>
            <w:instrText xml:space="preserve"> TOC \o "1-3" \h \z \u </w:instrText>
          </w:r>
          <w:r>
            <w:fldChar w:fldCharType="separate"/>
          </w:r>
          <w:hyperlink w:anchor="_Toc213327611" w:history="1">
            <w:r w:rsidRPr="006E525A">
              <w:rPr>
                <w:rStyle w:val="Hyperlink"/>
                <w:noProof/>
              </w:rPr>
              <w:t>ĮVADAS</w:t>
            </w:r>
            <w:r>
              <w:rPr>
                <w:noProof/>
                <w:webHidden/>
              </w:rPr>
              <w:tab/>
            </w:r>
            <w:r>
              <w:rPr>
                <w:noProof/>
                <w:webHidden/>
              </w:rPr>
              <w:fldChar w:fldCharType="begin"/>
            </w:r>
            <w:r>
              <w:rPr>
                <w:noProof/>
                <w:webHidden/>
              </w:rPr>
              <w:instrText xml:space="preserve"> PAGEREF _Toc213327611 \h </w:instrText>
            </w:r>
            <w:r>
              <w:rPr>
                <w:noProof/>
                <w:webHidden/>
              </w:rPr>
            </w:r>
            <w:r>
              <w:rPr>
                <w:noProof/>
                <w:webHidden/>
              </w:rPr>
              <w:fldChar w:fldCharType="separate"/>
            </w:r>
            <w:r>
              <w:rPr>
                <w:noProof/>
                <w:webHidden/>
              </w:rPr>
              <w:t>2</w:t>
            </w:r>
            <w:r>
              <w:rPr>
                <w:noProof/>
                <w:webHidden/>
              </w:rPr>
              <w:fldChar w:fldCharType="end"/>
            </w:r>
          </w:hyperlink>
        </w:p>
        <w:p w:rsidR="0098051A" w:rsidRDefault="00177E59">
          <w:pPr>
            <w:pStyle w:val="TOC2"/>
            <w:tabs>
              <w:tab w:val="left" w:pos="660"/>
              <w:tab w:val="right" w:leader="dot" w:pos="10174"/>
            </w:tabs>
            <w:rPr>
              <w:noProof/>
            </w:rPr>
          </w:pPr>
          <w:hyperlink w:anchor="_Toc213327612" w:history="1">
            <w:r w:rsidR="0098051A" w:rsidRPr="006E525A">
              <w:rPr>
                <w:rStyle w:val="Hyperlink"/>
                <w:noProof/>
              </w:rPr>
              <w:t>1.</w:t>
            </w:r>
            <w:r w:rsidR="0098051A">
              <w:rPr>
                <w:noProof/>
              </w:rPr>
              <w:tab/>
            </w:r>
            <w:r w:rsidR="0098051A" w:rsidRPr="006E525A">
              <w:rPr>
                <w:rStyle w:val="Hyperlink"/>
                <w:noProof/>
              </w:rPr>
              <w:t>NEFUNKCINIAI REIKALAVIMAI</w:t>
            </w:r>
            <w:r w:rsidR="0098051A">
              <w:rPr>
                <w:noProof/>
                <w:webHidden/>
              </w:rPr>
              <w:tab/>
            </w:r>
            <w:r w:rsidR="0098051A">
              <w:rPr>
                <w:noProof/>
                <w:webHidden/>
              </w:rPr>
              <w:fldChar w:fldCharType="begin"/>
            </w:r>
            <w:r w:rsidR="0098051A">
              <w:rPr>
                <w:noProof/>
                <w:webHidden/>
              </w:rPr>
              <w:instrText xml:space="preserve"> PAGEREF _Toc213327612 \h </w:instrText>
            </w:r>
            <w:r w:rsidR="0098051A">
              <w:rPr>
                <w:noProof/>
                <w:webHidden/>
              </w:rPr>
            </w:r>
            <w:r w:rsidR="0098051A">
              <w:rPr>
                <w:noProof/>
                <w:webHidden/>
              </w:rPr>
              <w:fldChar w:fldCharType="separate"/>
            </w:r>
            <w:r w:rsidR="0098051A">
              <w:rPr>
                <w:noProof/>
                <w:webHidden/>
              </w:rPr>
              <w:t>2</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13" w:history="1">
            <w:r w:rsidR="0098051A" w:rsidRPr="006E525A">
              <w:rPr>
                <w:rStyle w:val="Hyperlink"/>
                <w:noProof/>
              </w:rPr>
              <w:t>1.1.</w:t>
            </w:r>
            <w:r w:rsidR="0098051A">
              <w:rPr>
                <w:noProof/>
              </w:rPr>
              <w:tab/>
            </w:r>
            <w:r w:rsidR="0098051A" w:rsidRPr="006E525A">
              <w:rPr>
                <w:rStyle w:val="Hyperlink"/>
                <w:noProof/>
              </w:rPr>
              <w:t>Reikalavimai licencijoms</w:t>
            </w:r>
            <w:r w:rsidR="0098051A">
              <w:rPr>
                <w:noProof/>
                <w:webHidden/>
              </w:rPr>
              <w:tab/>
            </w:r>
            <w:r w:rsidR="0098051A">
              <w:rPr>
                <w:noProof/>
                <w:webHidden/>
              </w:rPr>
              <w:fldChar w:fldCharType="begin"/>
            </w:r>
            <w:r w:rsidR="0098051A">
              <w:rPr>
                <w:noProof/>
                <w:webHidden/>
              </w:rPr>
              <w:instrText xml:space="preserve"> PAGEREF _Toc213327613 \h </w:instrText>
            </w:r>
            <w:r w:rsidR="0098051A">
              <w:rPr>
                <w:noProof/>
                <w:webHidden/>
              </w:rPr>
            </w:r>
            <w:r w:rsidR="0098051A">
              <w:rPr>
                <w:noProof/>
                <w:webHidden/>
              </w:rPr>
              <w:fldChar w:fldCharType="separate"/>
            </w:r>
            <w:r w:rsidR="0098051A">
              <w:rPr>
                <w:noProof/>
                <w:webHidden/>
              </w:rPr>
              <w:t>2</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14" w:history="1">
            <w:r w:rsidR="0098051A" w:rsidRPr="006E525A">
              <w:rPr>
                <w:rStyle w:val="Hyperlink"/>
                <w:noProof/>
              </w:rPr>
              <w:t>1.2.</w:t>
            </w:r>
            <w:r w:rsidR="0098051A">
              <w:rPr>
                <w:noProof/>
              </w:rPr>
              <w:tab/>
            </w:r>
            <w:r w:rsidR="0098051A" w:rsidRPr="006E525A">
              <w:rPr>
                <w:rStyle w:val="Hyperlink"/>
                <w:noProof/>
              </w:rPr>
              <w:t>Reikalavimai analizei ir projektavimui</w:t>
            </w:r>
            <w:r w:rsidR="0098051A">
              <w:rPr>
                <w:noProof/>
                <w:webHidden/>
              </w:rPr>
              <w:tab/>
            </w:r>
            <w:r w:rsidR="0098051A">
              <w:rPr>
                <w:noProof/>
                <w:webHidden/>
              </w:rPr>
              <w:fldChar w:fldCharType="begin"/>
            </w:r>
            <w:r w:rsidR="0098051A">
              <w:rPr>
                <w:noProof/>
                <w:webHidden/>
              </w:rPr>
              <w:instrText xml:space="preserve"> PAGEREF _Toc213327614 \h </w:instrText>
            </w:r>
            <w:r w:rsidR="0098051A">
              <w:rPr>
                <w:noProof/>
                <w:webHidden/>
              </w:rPr>
            </w:r>
            <w:r w:rsidR="0098051A">
              <w:rPr>
                <w:noProof/>
                <w:webHidden/>
              </w:rPr>
              <w:fldChar w:fldCharType="separate"/>
            </w:r>
            <w:r w:rsidR="0098051A">
              <w:rPr>
                <w:noProof/>
                <w:webHidden/>
              </w:rPr>
              <w:t>2</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15" w:history="1">
            <w:r w:rsidR="0098051A" w:rsidRPr="006E525A">
              <w:rPr>
                <w:rStyle w:val="Hyperlink"/>
                <w:noProof/>
              </w:rPr>
              <w:t>1.3.</w:t>
            </w:r>
            <w:r w:rsidR="0098051A">
              <w:rPr>
                <w:noProof/>
              </w:rPr>
              <w:tab/>
            </w:r>
            <w:r w:rsidR="0098051A" w:rsidRPr="006E525A">
              <w:rPr>
                <w:rStyle w:val="Hyperlink"/>
                <w:noProof/>
              </w:rPr>
              <w:t>Reikalavimai diegimui</w:t>
            </w:r>
            <w:r w:rsidR="0098051A">
              <w:rPr>
                <w:noProof/>
                <w:webHidden/>
              </w:rPr>
              <w:tab/>
            </w:r>
            <w:r w:rsidR="0098051A">
              <w:rPr>
                <w:noProof/>
                <w:webHidden/>
              </w:rPr>
              <w:fldChar w:fldCharType="begin"/>
            </w:r>
            <w:r w:rsidR="0098051A">
              <w:rPr>
                <w:noProof/>
                <w:webHidden/>
              </w:rPr>
              <w:instrText xml:space="preserve"> PAGEREF _Toc213327615 \h </w:instrText>
            </w:r>
            <w:r w:rsidR="0098051A">
              <w:rPr>
                <w:noProof/>
                <w:webHidden/>
              </w:rPr>
            </w:r>
            <w:r w:rsidR="0098051A">
              <w:rPr>
                <w:noProof/>
                <w:webHidden/>
              </w:rPr>
              <w:fldChar w:fldCharType="separate"/>
            </w:r>
            <w:r w:rsidR="0098051A">
              <w:rPr>
                <w:noProof/>
                <w:webHidden/>
              </w:rPr>
              <w:t>3</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16" w:history="1">
            <w:r w:rsidR="0098051A" w:rsidRPr="006E525A">
              <w:rPr>
                <w:rStyle w:val="Hyperlink"/>
                <w:noProof/>
              </w:rPr>
              <w:t>1.4.</w:t>
            </w:r>
            <w:r w:rsidR="0098051A">
              <w:rPr>
                <w:noProof/>
              </w:rPr>
              <w:tab/>
            </w:r>
            <w:r w:rsidR="0098051A" w:rsidRPr="006E525A">
              <w:rPr>
                <w:rStyle w:val="Hyperlink"/>
                <w:noProof/>
              </w:rPr>
              <w:t>Reikalavimai integravimui su Perkančiosios organizacijos naudojamomis informacinėmis sistemomis</w:t>
            </w:r>
            <w:r w:rsidR="0098051A">
              <w:rPr>
                <w:noProof/>
                <w:webHidden/>
              </w:rPr>
              <w:tab/>
            </w:r>
            <w:r w:rsidR="0098051A">
              <w:rPr>
                <w:noProof/>
                <w:webHidden/>
              </w:rPr>
              <w:fldChar w:fldCharType="begin"/>
            </w:r>
            <w:r w:rsidR="0098051A">
              <w:rPr>
                <w:noProof/>
                <w:webHidden/>
              </w:rPr>
              <w:instrText xml:space="preserve"> PAGEREF _Toc213327616 \h </w:instrText>
            </w:r>
            <w:r w:rsidR="0098051A">
              <w:rPr>
                <w:noProof/>
                <w:webHidden/>
              </w:rPr>
            </w:r>
            <w:r w:rsidR="0098051A">
              <w:rPr>
                <w:noProof/>
                <w:webHidden/>
              </w:rPr>
              <w:fldChar w:fldCharType="separate"/>
            </w:r>
            <w:r w:rsidR="0098051A">
              <w:rPr>
                <w:noProof/>
                <w:webHidden/>
              </w:rPr>
              <w:t>3</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17" w:history="1">
            <w:r w:rsidR="0098051A" w:rsidRPr="006E525A">
              <w:rPr>
                <w:rStyle w:val="Hyperlink"/>
                <w:noProof/>
              </w:rPr>
              <w:t>1.5.</w:t>
            </w:r>
            <w:r w:rsidR="0098051A">
              <w:rPr>
                <w:noProof/>
              </w:rPr>
              <w:tab/>
            </w:r>
            <w:r w:rsidR="0098051A" w:rsidRPr="006E525A">
              <w:rPr>
                <w:rStyle w:val="Hyperlink"/>
                <w:noProof/>
              </w:rPr>
              <w:t>Reikalavimai mokymams</w:t>
            </w:r>
            <w:r w:rsidR="0098051A">
              <w:rPr>
                <w:noProof/>
                <w:webHidden/>
              </w:rPr>
              <w:tab/>
            </w:r>
            <w:r w:rsidR="0098051A">
              <w:rPr>
                <w:noProof/>
                <w:webHidden/>
              </w:rPr>
              <w:fldChar w:fldCharType="begin"/>
            </w:r>
            <w:r w:rsidR="0098051A">
              <w:rPr>
                <w:noProof/>
                <w:webHidden/>
              </w:rPr>
              <w:instrText xml:space="preserve"> PAGEREF _Toc213327617 \h </w:instrText>
            </w:r>
            <w:r w:rsidR="0098051A">
              <w:rPr>
                <w:noProof/>
                <w:webHidden/>
              </w:rPr>
            </w:r>
            <w:r w:rsidR="0098051A">
              <w:rPr>
                <w:noProof/>
                <w:webHidden/>
              </w:rPr>
              <w:fldChar w:fldCharType="separate"/>
            </w:r>
            <w:r w:rsidR="0098051A">
              <w:rPr>
                <w:noProof/>
                <w:webHidden/>
              </w:rPr>
              <w:t>4</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18" w:history="1">
            <w:r w:rsidR="0098051A" w:rsidRPr="006E525A">
              <w:rPr>
                <w:rStyle w:val="Hyperlink"/>
                <w:noProof/>
              </w:rPr>
              <w:t>1.6.</w:t>
            </w:r>
            <w:r w:rsidR="0098051A">
              <w:rPr>
                <w:noProof/>
              </w:rPr>
              <w:tab/>
            </w:r>
            <w:r w:rsidR="0098051A" w:rsidRPr="006E525A">
              <w:rPr>
                <w:rStyle w:val="Hyperlink"/>
                <w:noProof/>
              </w:rPr>
              <w:t>Reikalavimai priežiūrai</w:t>
            </w:r>
            <w:r w:rsidR="0098051A">
              <w:rPr>
                <w:noProof/>
                <w:webHidden/>
              </w:rPr>
              <w:tab/>
            </w:r>
            <w:r w:rsidR="0098051A">
              <w:rPr>
                <w:noProof/>
                <w:webHidden/>
              </w:rPr>
              <w:fldChar w:fldCharType="begin"/>
            </w:r>
            <w:r w:rsidR="0098051A">
              <w:rPr>
                <w:noProof/>
                <w:webHidden/>
              </w:rPr>
              <w:instrText xml:space="preserve"> PAGEREF _Toc213327618 \h </w:instrText>
            </w:r>
            <w:r w:rsidR="0098051A">
              <w:rPr>
                <w:noProof/>
                <w:webHidden/>
              </w:rPr>
            </w:r>
            <w:r w:rsidR="0098051A">
              <w:rPr>
                <w:noProof/>
                <w:webHidden/>
              </w:rPr>
              <w:fldChar w:fldCharType="separate"/>
            </w:r>
            <w:r w:rsidR="0098051A">
              <w:rPr>
                <w:noProof/>
                <w:webHidden/>
              </w:rPr>
              <w:t>4</w:t>
            </w:r>
            <w:r w:rsidR="0098051A">
              <w:rPr>
                <w:noProof/>
                <w:webHidden/>
              </w:rPr>
              <w:fldChar w:fldCharType="end"/>
            </w:r>
          </w:hyperlink>
        </w:p>
        <w:p w:rsidR="0098051A" w:rsidRDefault="00177E59">
          <w:pPr>
            <w:pStyle w:val="TOC2"/>
            <w:tabs>
              <w:tab w:val="left" w:pos="660"/>
              <w:tab w:val="right" w:leader="dot" w:pos="10174"/>
            </w:tabs>
            <w:rPr>
              <w:noProof/>
            </w:rPr>
          </w:pPr>
          <w:hyperlink w:anchor="_Toc213327619" w:history="1">
            <w:r w:rsidR="0098051A" w:rsidRPr="006E525A">
              <w:rPr>
                <w:rStyle w:val="Hyperlink"/>
                <w:noProof/>
              </w:rPr>
              <w:t>2.</w:t>
            </w:r>
            <w:r w:rsidR="0098051A">
              <w:rPr>
                <w:noProof/>
              </w:rPr>
              <w:tab/>
            </w:r>
            <w:r w:rsidR="0098051A" w:rsidRPr="006E525A">
              <w:rPr>
                <w:rStyle w:val="Hyperlink"/>
                <w:noProof/>
              </w:rPr>
              <w:t>FUNKCINIAI REIKALAVIMAI</w:t>
            </w:r>
            <w:r w:rsidR="0098051A">
              <w:rPr>
                <w:noProof/>
                <w:webHidden/>
              </w:rPr>
              <w:tab/>
            </w:r>
            <w:r w:rsidR="0098051A">
              <w:rPr>
                <w:noProof/>
                <w:webHidden/>
              </w:rPr>
              <w:fldChar w:fldCharType="begin"/>
            </w:r>
            <w:r w:rsidR="0098051A">
              <w:rPr>
                <w:noProof/>
                <w:webHidden/>
              </w:rPr>
              <w:instrText xml:space="preserve"> PAGEREF _Toc213327619 \h </w:instrText>
            </w:r>
            <w:r w:rsidR="0098051A">
              <w:rPr>
                <w:noProof/>
                <w:webHidden/>
              </w:rPr>
            </w:r>
            <w:r w:rsidR="0098051A">
              <w:rPr>
                <w:noProof/>
                <w:webHidden/>
              </w:rPr>
              <w:fldChar w:fldCharType="separate"/>
            </w:r>
            <w:r w:rsidR="0098051A">
              <w:rPr>
                <w:noProof/>
                <w:webHidden/>
              </w:rPr>
              <w:t>5</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20" w:history="1">
            <w:r w:rsidR="0098051A" w:rsidRPr="006E525A">
              <w:rPr>
                <w:rStyle w:val="Hyperlink"/>
                <w:noProof/>
              </w:rPr>
              <w:t>2.1.</w:t>
            </w:r>
            <w:r w:rsidR="0098051A">
              <w:rPr>
                <w:noProof/>
              </w:rPr>
              <w:tab/>
            </w:r>
            <w:r w:rsidR="0098051A" w:rsidRPr="006E525A">
              <w:rPr>
                <w:rStyle w:val="Hyperlink"/>
                <w:noProof/>
              </w:rPr>
              <w:t>Bendrieji techniniai reikalavimai</w:t>
            </w:r>
            <w:r w:rsidR="0098051A">
              <w:rPr>
                <w:noProof/>
                <w:webHidden/>
              </w:rPr>
              <w:tab/>
            </w:r>
            <w:r w:rsidR="0098051A">
              <w:rPr>
                <w:noProof/>
                <w:webHidden/>
              </w:rPr>
              <w:fldChar w:fldCharType="begin"/>
            </w:r>
            <w:r w:rsidR="0098051A">
              <w:rPr>
                <w:noProof/>
                <w:webHidden/>
              </w:rPr>
              <w:instrText xml:space="preserve"> PAGEREF _Toc213327620 \h </w:instrText>
            </w:r>
            <w:r w:rsidR="0098051A">
              <w:rPr>
                <w:noProof/>
                <w:webHidden/>
              </w:rPr>
            </w:r>
            <w:r w:rsidR="0098051A">
              <w:rPr>
                <w:noProof/>
                <w:webHidden/>
              </w:rPr>
              <w:fldChar w:fldCharType="separate"/>
            </w:r>
            <w:r w:rsidR="0098051A">
              <w:rPr>
                <w:noProof/>
                <w:webHidden/>
              </w:rPr>
              <w:t>5</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21" w:history="1">
            <w:r w:rsidR="0098051A" w:rsidRPr="006E525A">
              <w:rPr>
                <w:rStyle w:val="Hyperlink"/>
                <w:noProof/>
              </w:rPr>
              <w:t>2.2.</w:t>
            </w:r>
            <w:r w:rsidR="0098051A">
              <w:rPr>
                <w:noProof/>
              </w:rPr>
              <w:tab/>
            </w:r>
            <w:r w:rsidR="0098051A" w:rsidRPr="006E525A">
              <w:rPr>
                <w:rStyle w:val="Hyperlink"/>
                <w:noProof/>
              </w:rPr>
              <w:t>Administravimo reikalavimai</w:t>
            </w:r>
            <w:r w:rsidR="0098051A">
              <w:rPr>
                <w:noProof/>
                <w:webHidden/>
              </w:rPr>
              <w:tab/>
            </w:r>
            <w:r w:rsidR="0098051A">
              <w:rPr>
                <w:noProof/>
                <w:webHidden/>
              </w:rPr>
              <w:fldChar w:fldCharType="begin"/>
            </w:r>
            <w:r w:rsidR="0098051A">
              <w:rPr>
                <w:noProof/>
                <w:webHidden/>
              </w:rPr>
              <w:instrText xml:space="preserve"> PAGEREF _Toc213327621 \h </w:instrText>
            </w:r>
            <w:r w:rsidR="0098051A">
              <w:rPr>
                <w:noProof/>
                <w:webHidden/>
              </w:rPr>
            </w:r>
            <w:r w:rsidR="0098051A">
              <w:rPr>
                <w:noProof/>
                <w:webHidden/>
              </w:rPr>
              <w:fldChar w:fldCharType="separate"/>
            </w:r>
            <w:r w:rsidR="0098051A">
              <w:rPr>
                <w:noProof/>
                <w:webHidden/>
              </w:rPr>
              <w:t>6</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22" w:history="1">
            <w:r w:rsidR="0098051A" w:rsidRPr="006E525A">
              <w:rPr>
                <w:rStyle w:val="Hyperlink"/>
                <w:noProof/>
              </w:rPr>
              <w:t>2.3.</w:t>
            </w:r>
            <w:r w:rsidR="0098051A">
              <w:rPr>
                <w:noProof/>
              </w:rPr>
              <w:tab/>
            </w:r>
            <w:r w:rsidR="0098051A" w:rsidRPr="006E525A">
              <w:rPr>
                <w:rStyle w:val="Hyperlink"/>
                <w:noProof/>
              </w:rPr>
              <w:t>Funkciniai reikalavimai</w:t>
            </w:r>
            <w:r w:rsidR="0098051A">
              <w:rPr>
                <w:noProof/>
                <w:webHidden/>
              </w:rPr>
              <w:tab/>
            </w:r>
            <w:r w:rsidR="0098051A">
              <w:rPr>
                <w:noProof/>
                <w:webHidden/>
              </w:rPr>
              <w:fldChar w:fldCharType="begin"/>
            </w:r>
            <w:r w:rsidR="0098051A">
              <w:rPr>
                <w:noProof/>
                <w:webHidden/>
              </w:rPr>
              <w:instrText xml:space="preserve"> PAGEREF _Toc213327622 \h </w:instrText>
            </w:r>
            <w:r w:rsidR="0098051A">
              <w:rPr>
                <w:noProof/>
                <w:webHidden/>
              </w:rPr>
            </w:r>
            <w:r w:rsidR="0098051A">
              <w:rPr>
                <w:noProof/>
                <w:webHidden/>
              </w:rPr>
              <w:fldChar w:fldCharType="separate"/>
            </w:r>
            <w:r w:rsidR="0098051A">
              <w:rPr>
                <w:noProof/>
                <w:webHidden/>
              </w:rPr>
              <w:t>7</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23" w:history="1">
            <w:r w:rsidR="0098051A" w:rsidRPr="006E525A">
              <w:rPr>
                <w:rStyle w:val="Hyperlink"/>
                <w:noProof/>
              </w:rPr>
              <w:t>2.4.</w:t>
            </w:r>
            <w:r w:rsidR="0098051A">
              <w:rPr>
                <w:noProof/>
              </w:rPr>
              <w:tab/>
            </w:r>
            <w:r w:rsidR="0098051A" w:rsidRPr="006E525A">
              <w:rPr>
                <w:rStyle w:val="Hyperlink"/>
                <w:noProof/>
              </w:rPr>
              <w:t>Saugumo reikalavimai</w:t>
            </w:r>
            <w:r w:rsidR="0098051A">
              <w:rPr>
                <w:noProof/>
                <w:webHidden/>
              </w:rPr>
              <w:tab/>
            </w:r>
            <w:r w:rsidR="0098051A">
              <w:rPr>
                <w:noProof/>
                <w:webHidden/>
              </w:rPr>
              <w:fldChar w:fldCharType="begin"/>
            </w:r>
            <w:r w:rsidR="0098051A">
              <w:rPr>
                <w:noProof/>
                <w:webHidden/>
              </w:rPr>
              <w:instrText xml:space="preserve"> PAGEREF _Toc213327623 \h </w:instrText>
            </w:r>
            <w:r w:rsidR="0098051A">
              <w:rPr>
                <w:noProof/>
                <w:webHidden/>
              </w:rPr>
            </w:r>
            <w:r w:rsidR="0098051A">
              <w:rPr>
                <w:noProof/>
                <w:webHidden/>
              </w:rPr>
              <w:fldChar w:fldCharType="separate"/>
            </w:r>
            <w:r w:rsidR="0098051A">
              <w:rPr>
                <w:noProof/>
                <w:webHidden/>
              </w:rPr>
              <w:t>11</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24" w:history="1">
            <w:r w:rsidR="0098051A" w:rsidRPr="006E525A">
              <w:rPr>
                <w:rStyle w:val="Hyperlink"/>
                <w:noProof/>
              </w:rPr>
              <w:t>2.5.</w:t>
            </w:r>
            <w:r w:rsidR="0098051A">
              <w:rPr>
                <w:noProof/>
              </w:rPr>
              <w:tab/>
            </w:r>
            <w:r w:rsidR="0098051A" w:rsidRPr="006E525A">
              <w:rPr>
                <w:rStyle w:val="Hyperlink"/>
                <w:noProof/>
              </w:rPr>
              <w:t>Palaikymo reikalavimai</w:t>
            </w:r>
            <w:r w:rsidR="0098051A">
              <w:rPr>
                <w:noProof/>
                <w:webHidden/>
              </w:rPr>
              <w:tab/>
            </w:r>
            <w:r w:rsidR="0098051A">
              <w:rPr>
                <w:noProof/>
                <w:webHidden/>
              </w:rPr>
              <w:fldChar w:fldCharType="begin"/>
            </w:r>
            <w:r w:rsidR="0098051A">
              <w:rPr>
                <w:noProof/>
                <w:webHidden/>
              </w:rPr>
              <w:instrText xml:space="preserve"> PAGEREF _Toc213327624 \h </w:instrText>
            </w:r>
            <w:r w:rsidR="0098051A">
              <w:rPr>
                <w:noProof/>
                <w:webHidden/>
              </w:rPr>
            </w:r>
            <w:r w:rsidR="0098051A">
              <w:rPr>
                <w:noProof/>
                <w:webHidden/>
              </w:rPr>
              <w:fldChar w:fldCharType="separate"/>
            </w:r>
            <w:r w:rsidR="0098051A">
              <w:rPr>
                <w:noProof/>
                <w:webHidden/>
              </w:rPr>
              <w:t>11</w:t>
            </w:r>
            <w:r w:rsidR="0098051A">
              <w:rPr>
                <w:noProof/>
                <w:webHidden/>
              </w:rPr>
              <w:fldChar w:fldCharType="end"/>
            </w:r>
          </w:hyperlink>
        </w:p>
        <w:p w:rsidR="0098051A" w:rsidRDefault="00177E59">
          <w:pPr>
            <w:pStyle w:val="TOC3"/>
            <w:tabs>
              <w:tab w:val="left" w:pos="1100"/>
              <w:tab w:val="right" w:leader="dot" w:pos="10174"/>
            </w:tabs>
            <w:rPr>
              <w:noProof/>
            </w:rPr>
          </w:pPr>
          <w:hyperlink w:anchor="_Toc213327625" w:history="1">
            <w:r w:rsidR="0098051A" w:rsidRPr="006E525A">
              <w:rPr>
                <w:rStyle w:val="Hyperlink"/>
                <w:noProof/>
              </w:rPr>
              <w:t>2.6.</w:t>
            </w:r>
            <w:r w:rsidR="0098051A">
              <w:rPr>
                <w:noProof/>
              </w:rPr>
              <w:tab/>
            </w:r>
            <w:r w:rsidR="0098051A" w:rsidRPr="006E525A">
              <w:rPr>
                <w:rStyle w:val="Hyperlink"/>
                <w:noProof/>
              </w:rPr>
              <w:t>Reikalavimai tolimesniam vystymui</w:t>
            </w:r>
            <w:r w:rsidR="0098051A">
              <w:rPr>
                <w:noProof/>
                <w:webHidden/>
              </w:rPr>
              <w:tab/>
            </w:r>
            <w:r w:rsidR="0098051A">
              <w:rPr>
                <w:noProof/>
                <w:webHidden/>
              </w:rPr>
              <w:fldChar w:fldCharType="begin"/>
            </w:r>
            <w:r w:rsidR="0098051A">
              <w:rPr>
                <w:noProof/>
                <w:webHidden/>
              </w:rPr>
              <w:instrText xml:space="preserve"> PAGEREF _Toc213327625 \h </w:instrText>
            </w:r>
            <w:r w:rsidR="0098051A">
              <w:rPr>
                <w:noProof/>
                <w:webHidden/>
              </w:rPr>
            </w:r>
            <w:r w:rsidR="0098051A">
              <w:rPr>
                <w:noProof/>
                <w:webHidden/>
              </w:rPr>
              <w:fldChar w:fldCharType="separate"/>
            </w:r>
            <w:r w:rsidR="0098051A">
              <w:rPr>
                <w:noProof/>
                <w:webHidden/>
              </w:rPr>
              <w:t>12</w:t>
            </w:r>
            <w:r w:rsidR="0098051A">
              <w:rPr>
                <w:noProof/>
                <w:webHidden/>
              </w:rPr>
              <w:fldChar w:fldCharType="end"/>
            </w:r>
          </w:hyperlink>
        </w:p>
        <w:p w:rsidR="0098051A" w:rsidRDefault="0098051A">
          <w:r>
            <w:rPr>
              <w:b/>
              <w:bCs/>
              <w:noProof/>
            </w:rPr>
            <w:fldChar w:fldCharType="end"/>
          </w:r>
        </w:p>
      </w:sdtContent>
    </w:sdt>
    <w:p w:rsidR="00D129BC" w:rsidRDefault="00D129BC" w:rsidP="00D129BC">
      <w:r>
        <w:br w:type="page"/>
      </w:r>
    </w:p>
    <w:p w:rsidR="00D129BC" w:rsidRDefault="00D129BC" w:rsidP="00D129BC"/>
    <w:p w:rsidR="00D129BC" w:rsidRDefault="00D129BC" w:rsidP="00D129BC">
      <w:pPr>
        <w:pStyle w:val="Heading2"/>
        <w:jc w:val="center"/>
      </w:pPr>
      <w:bookmarkStart w:id="1" w:name="_Toc213327611"/>
      <w:r>
        <w:t>ĮVADAS</w:t>
      </w:r>
      <w:bookmarkEnd w:id="1"/>
    </w:p>
    <w:p w:rsidR="00D129BC" w:rsidRDefault="00D129BC" w:rsidP="00D129BC">
      <w:pPr>
        <w:pBdr>
          <w:top w:val="nil"/>
          <w:left w:val="nil"/>
          <w:bottom w:val="nil"/>
          <w:right w:val="nil"/>
          <w:between w:val="nil"/>
        </w:pBdr>
        <w:spacing w:line="240" w:lineRule="auto"/>
        <w:rPr>
          <w:rFonts w:ascii="Times New Roman" w:eastAsia="Times New Roman" w:hAnsi="Times New Roman" w:cs="Times New Roman"/>
          <w:b/>
          <w:color w:val="000000"/>
        </w:rPr>
      </w:pPr>
    </w:p>
    <w:p w:rsidR="00D129BC" w:rsidRPr="003A0AF3" w:rsidRDefault="00D129BC" w:rsidP="00D129BC">
      <w:pPr>
        <w:pStyle w:val="ListParagraph"/>
        <w:numPr>
          <w:ilvl w:val="0"/>
          <w:numId w:val="6"/>
        </w:numPr>
        <w:tabs>
          <w:tab w:val="left" w:pos="284"/>
        </w:tabs>
        <w:jc w:val="both"/>
        <w:rPr>
          <w:rFonts w:ascii="Times New Roman" w:eastAsia="Times New Roman" w:hAnsi="Times New Roman" w:cs="Times New Roman"/>
          <w:sz w:val="24"/>
          <w:szCs w:val="24"/>
        </w:rPr>
      </w:pPr>
      <w:r w:rsidRPr="003A0AF3">
        <w:rPr>
          <w:rFonts w:ascii="Times New Roman" w:eastAsia="Times New Roman" w:hAnsi="Times New Roman" w:cs="Times New Roman"/>
          <w:sz w:val="24"/>
          <w:szCs w:val="24"/>
        </w:rPr>
        <w:t>Pirkimo objektas: Kalvarijos gimnazijos mokinių pasiekimų ir elgesio gerinimo procesų skaitmenizavimo sistemos sukūrimas (toliau - Programa).</w:t>
      </w:r>
    </w:p>
    <w:p w:rsidR="00D129BC" w:rsidRPr="003A0AF3" w:rsidRDefault="00D129BC" w:rsidP="00D129BC">
      <w:pPr>
        <w:pStyle w:val="ListParagraph"/>
        <w:numPr>
          <w:ilvl w:val="0"/>
          <w:numId w:val="6"/>
        </w:numPr>
        <w:tabs>
          <w:tab w:val="left" w:pos="284"/>
        </w:tabs>
        <w:jc w:val="both"/>
        <w:rPr>
          <w:rFonts w:ascii="Times New Roman" w:eastAsia="Times New Roman" w:hAnsi="Times New Roman" w:cs="Times New Roman"/>
          <w:sz w:val="24"/>
          <w:szCs w:val="24"/>
        </w:rPr>
      </w:pPr>
      <w:r w:rsidRPr="003A0AF3">
        <w:rPr>
          <w:rFonts w:ascii="Times New Roman" w:eastAsia="Times New Roman" w:hAnsi="Times New Roman" w:cs="Times New Roman"/>
          <w:sz w:val="24"/>
          <w:szCs w:val="24"/>
        </w:rPr>
        <w:t>Užsakovas: Kalvarijos gimnazija, J. Basanavičiaus g. 16, Kalvarija LT69202.</w:t>
      </w:r>
    </w:p>
    <w:p w:rsidR="00D129BC" w:rsidRPr="003A0AF3" w:rsidRDefault="00D129BC" w:rsidP="00D129BC">
      <w:pPr>
        <w:pStyle w:val="ListParagraph"/>
        <w:numPr>
          <w:ilvl w:val="0"/>
          <w:numId w:val="6"/>
        </w:numPr>
        <w:tabs>
          <w:tab w:val="left" w:pos="284"/>
        </w:tabs>
        <w:jc w:val="both"/>
        <w:rPr>
          <w:rFonts w:ascii="Times New Roman" w:eastAsia="Times New Roman" w:hAnsi="Times New Roman" w:cs="Times New Roman"/>
          <w:sz w:val="24"/>
          <w:szCs w:val="24"/>
        </w:rPr>
      </w:pPr>
      <w:r w:rsidRPr="003A0AF3">
        <w:rPr>
          <w:rFonts w:ascii="Times New Roman" w:eastAsia="Times New Roman" w:hAnsi="Times New Roman" w:cs="Times New Roman"/>
          <w:sz w:val="24"/>
          <w:szCs w:val="24"/>
        </w:rPr>
        <w:t>Programa įsigyjama: įgyvendinant projektą „Tūkstantmečio mokyklos II“ Nr. 10-012-P-0001.</w:t>
      </w:r>
    </w:p>
    <w:p w:rsidR="00D129BC" w:rsidRPr="003A0AF3" w:rsidRDefault="00D129BC" w:rsidP="00D129BC">
      <w:pPr>
        <w:pStyle w:val="ListParagraph"/>
        <w:numPr>
          <w:ilvl w:val="0"/>
          <w:numId w:val="6"/>
        </w:numPr>
        <w:tabs>
          <w:tab w:val="left" w:pos="284"/>
        </w:tabs>
        <w:jc w:val="both"/>
        <w:rPr>
          <w:rFonts w:ascii="Times New Roman" w:eastAsia="Times New Roman" w:hAnsi="Times New Roman" w:cs="Times New Roman"/>
          <w:sz w:val="24"/>
          <w:szCs w:val="24"/>
        </w:rPr>
      </w:pPr>
      <w:bookmarkStart w:id="2" w:name="_heading=h.v586fe4jctxw" w:colFirst="0" w:colLast="0"/>
      <w:bookmarkEnd w:id="2"/>
      <w:r w:rsidRPr="003A0AF3">
        <w:rPr>
          <w:rFonts w:ascii="Times New Roman" w:eastAsia="Times New Roman" w:hAnsi="Times New Roman" w:cs="Times New Roman"/>
          <w:sz w:val="24"/>
          <w:szCs w:val="24"/>
        </w:rPr>
        <w:t>Programa turi būti sukurta, išbandyta ir atiduota naudotis pagal pateikiamą Kalvarijos gimnazijos mokinių pasiekimų ir elgesio gerinimo procesų skaitmenizavimo sistemos įgyvendinimo planą</w:t>
      </w:r>
      <w:r w:rsidR="00EE1254">
        <w:rPr>
          <w:rFonts w:ascii="Times New Roman" w:eastAsia="Times New Roman" w:hAnsi="Times New Roman" w:cs="Times New Roman"/>
          <w:sz w:val="24"/>
          <w:szCs w:val="24"/>
        </w:rPr>
        <w:t>, bet ne ilgiau kaip per 100 (vieną šimtą) kalendorinių dienų nuo sutarties pasirašymo momento</w:t>
      </w:r>
      <w:r w:rsidRPr="003A0AF3">
        <w:rPr>
          <w:rFonts w:ascii="Times New Roman" w:eastAsia="Times New Roman" w:hAnsi="Times New Roman" w:cs="Times New Roman"/>
          <w:sz w:val="24"/>
          <w:szCs w:val="24"/>
        </w:rPr>
        <w:t>.</w:t>
      </w:r>
    </w:p>
    <w:p w:rsidR="00D129BC" w:rsidRDefault="00D129BC" w:rsidP="00D129BC">
      <w:pPr>
        <w:pStyle w:val="ListParagraph"/>
        <w:numPr>
          <w:ilvl w:val="0"/>
          <w:numId w:val="6"/>
        </w:numPr>
        <w:tabs>
          <w:tab w:val="left" w:pos="284"/>
        </w:tabs>
        <w:jc w:val="both"/>
        <w:rPr>
          <w:rFonts w:ascii="Times New Roman" w:eastAsia="Times New Roman" w:hAnsi="Times New Roman" w:cs="Times New Roman"/>
          <w:sz w:val="24"/>
          <w:szCs w:val="24"/>
        </w:rPr>
      </w:pPr>
      <w:r w:rsidRPr="003A0AF3">
        <w:rPr>
          <w:rFonts w:ascii="Times New Roman" w:eastAsia="Times New Roman" w:hAnsi="Times New Roman" w:cs="Times New Roman"/>
          <w:sz w:val="24"/>
          <w:szCs w:val="24"/>
        </w:rPr>
        <w:t>Programos sukūrimo tikslas – sukurti įrankį mokinių pažangos vertinimui ir pagalbos planavimui, kuris padėtų efektyviau vertinti individualią pažangą, padėtų mokiniui keltis mokymosi uždavinius, jų siekti, apžvelgti savo pažangą ir taip visapusiškai vystyti savo kompetencijas.</w:t>
      </w:r>
    </w:p>
    <w:p w:rsidR="00D129BC" w:rsidRPr="000E466D" w:rsidRDefault="00D129BC" w:rsidP="00A5672E">
      <w:pPr>
        <w:pStyle w:val="ListParagraph"/>
        <w:numPr>
          <w:ilvl w:val="0"/>
          <w:numId w:val="6"/>
        </w:numPr>
        <w:tabs>
          <w:tab w:val="left" w:pos="284"/>
        </w:tabs>
        <w:jc w:val="both"/>
        <w:rPr>
          <w:rFonts w:ascii="Times New Roman" w:eastAsia="Times New Roman" w:hAnsi="Times New Roman" w:cs="Times New Roman"/>
          <w:sz w:val="24"/>
          <w:szCs w:val="24"/>
        </w:rPr>
      </w:pPr>
      <w:r w:rsidRPr="00A5672E">
        <w:rPr>
          <w:rFonts w:ascii="Times New Roman" w:hAnsi="Times New Roman" w:cs="Times New Roman"/>
          <w:sz w:val="24"/>
          <w:szCs w:val="24"/>
        </w:rPr>
        <w:t xml:space="preserve">Už atliktus Programos kūrimo darbus bus mokama </w:t>
      </w:r>
      <w:r w:rsidR="001A1CC6" w:rsidRPr="00A5672E">
        <w:rPr>
          <w:rFonts w:ascii="Times New Roman" w:hAnsi="Times New Roman" w:cs="Times New Roman"/>
          <w:sz w:val="24"/>
          <w:szCs w:val="24"/>
        </w:rPr>
        <w:t>pasirašius paslaugų priėmimo aktą ir sąskaitą faktūrą patvirtinus sistemoje SABIS. Avansas nemokamas.</w:t>
      </w:r>
    </w:p>
    <w:p w:rsidR="000E466D" w:rsidRPr="000E466D" w:rsidRDefault="000E466D" w:rsidP="000E466D">
      <w:pPr>
        <w:pStyle w:val="ListParagraph"/>
        <w:numPr>
          <w:ilvl w:val="0"/>
          <w:numId w:val="6"/>
        </w:numPr>
        <w:jc w:val="both"/>
        <w:rPr>
          <w:rFonts w:ascii="Times New Roman" w:eastAsia="Times New Roman" w:hAnsi="Times New Roman" w:cs="Times New Roman"/>
          <w:sz w:val="24"/>
          <w:szCs w:val="24"/>
        </w:rPr>
      </w:pPr>
      <w:r w:rsidRPr="000E466D">
        <w:rPr>
          <w:rFonts w:ascii="Times New Roman" w:eastAsia="Times New Roman" w:hAnsi="Times New Roman" w:cs="Times New Roman"/>
          <w:sz w:val="24"/>
          <w:szCs w:val="24"/>
        </w:rPr>
        <w:t>Paslaugų teikėjas prisiima visą finansinę riziką, susijusią su pilnu ir kokybišku Programos kūrimu, diegimu, testavimu, integravimu ir galutinio rezultato perdavimu Perkančiajai organizacijai, įskaitant visus techninėje specifikacijoje numatytus reikalavimus. Paslaugų teikėjas negali reikalauti jokių papildomų mokėjimų, kompensacijų ar kitų</w:t>
      </w:r>
      <w:r w:rsidR="00C70B10">
        <w:rPr>
          <w:rFonts w:ascii="Times New Roman" w:eastAsia="Times New Roman" w:hAnsi="Times New Roman" w:cs="Times New Roman"/>
          <w:sz w:val="24"/>
          <w:szCs w:val="24"/>
        </w:rPr>
        <w:t xml:space="preserve"> trečiųjų šalių</w:t>
      </w:r>
      <w:r w:rsidRPr="000E466D">
        <w:rPr>
          <w:rFonts w:ascii="Times New Roman" w:eastAsia="Times New Roman" w:hAnsi="Times New Roman" w:cs="Times New Roman"/>
          <w:sz w:val="24"/>
          <w:szCs w:val="24"/>
        </w:rPr>
        <w:t xml:space="preserve"> išlaidų</w:t>
      </w:r>
      <w:r>
        <w:rPr>
          <w:rFonts w:ascii="Times New Roman" w:eastAsia="Times New Roman" w:hAnsi="Times New Roman" w:cs="Times New Roman"/>
          <w:sz w:val="24"/>
          <w:szCs w:val="24"/>
        </w:rPr>
        <w:t xml:space="preserve"> padengimo</w:t>
      </w:r>
      <w:r w:rsidRPr="000E466D">
        <w:rPr>
          <w:rFonts w:ascii="Times New Roman" w:eastAsia="Times New Roman" w:hAnsi="Times New Roman" w:cs="Times New Roman"/>
          <w:sz w:val="24"/>
          <w:szCs w:val="24"/>
        </w:rPr>
        <w:t>, išskyrus sutartyje nustatytą galutinę kainą</w:t>
      </w:r>
      <w:r w:rsidR="009C287E">
        <w:rPr>
          <w:rFonts w:ascii="Times New Roman" w:eastAsia="Times New Roman" w:hAnsi="Times New Roman" w:cs="Times New Roman"/>
          <w:sz w:val="24"/>
          <w:szCs w:val="24"/>
        </w:rPr>
        <w:t>.</w:t>
      </w:r>
      <w:r w:rsidRPr="000E466D">
        <w:rPr>
          <w:rFonts w:ascii="Times New Roman" w:eastAsia="Times New Roman" w:hAnsi="Times New Roman" w:cs="Times New Roman"/>
          <w:sz w:val="24"/>
          <w:szCs w:val="24"/>
        </w:rPr>
        <w:t xml:space="preserve"> </w:t>
      </w:r>
    </w:p>
    <w:p w:rsidR="00D129BC" w:rsidRPr="003A0AF3" w:rsidRDefault="00D129BC" w:rsidP="00D129BC">
      <w:pPr>
        <w:pStyle w:val="ListParagraph"/>
        <w:numPr>
          <w:ilvl w:val="0"/>
          <w:numId w:val="6"/>
        </w:numPr>
        <w:tabs>
          <w:tab w:val="left" w:pos="284"/>
        </w:tabs>
        <w:jc w:val="both"/>
        <w:rPr>
          <w:rFonts w:ascii="Times New Roman" w:eastAsia="Times New Roman" w:hAnsi="Times New Roman" w:cs="Times New Roman"/>
          <w:sz w:val="24"/>
          <w:szCs w:val="24"/>
        </w:rPr>
      </w:pPr>
      <w:r w:rsidRPr="003A0AF3">
        <w:rPr>
          <w:rFonts w:ascii="Times New Roman" w:eastAsia="Times New Roman" w:hAnsi="Times New Roman" w:cs="Times New Roman"/>
          <w:sz w:val="24"/>
          <w:szCs w:val="24"/>
        </w:rPr>
        <w:t>Su perkamomis paslaugomis susiję aplinkos apsaugos kriterijai:</w:t>
      </w:r>
      <w:r w:rsidRPr="003A0AF3">
        <w:rPr>
          <w:rFonts w:ascii="Times New Roman" w:eastAsia="Times New Roman" w:hAnsi="Times New Roman" w:cs="Times New Roman"/>
          <w:b/>
          <w:sz w:val="24"/>
          <w:szCs w:val="24"/>
        </w:rPr>
        <w:t xml:space="preserve"> </w:t>
      </w:r>
      <w:r w:rsidRPr="003A0AF3">
        <w:rPr>
          <w:rFonts w:ascii="Times New Roman" w:eastAsia="Times New Roman" w:hAnsi="Times New Roman" w:cs="Times New Roman"/>
          <w:sz w:val="24"/>
          <w:szCs w:val="24"/>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rsidR="00D129BC" w:rsidRPr="003A0AF3" w:rsidRDefault="00D129BC" w:rsidP="00D129BC">
      <w:pPr>
        <w:pStyle w:val="ListParagraph"/>
        <w:numPr>
          <w:ilvl w:val="0"/>
          <w:numId w:val="6"/>
        </w:numPr>
        <w:tabs>
          <w:tab w:val="left" w:pos="284"/>
        </w:tabs>
        <w:jc w:val="both"/>
        <w:rPr>
          <w:rFonts w:ascii="Times New Roman" w:eastAsia="Times New Roman" w:hAnsi="Times New Roman" w:cs="Times New Roman"/>
          <w:sz w:val="24"/>
          <w:szCs w:val="24"/>
        </w:rPr>
      </w:pPr>
      <w:r w:rsidRPr="003A0AF3">
        <w:rPr>
          <w:rFonts w:ascii="Times New Roman" w:eastAsia="Times New Roman" w:hAnsi="Times New Roman" w:cs="Times New Roman"/>
          <w:color w:val="000000"/>
          <w:sz w:val="24"/>
          <w:szCs w:val="24"/>
        </w:rPr>
        <w:t>Jei techninėje specifikacijoje ar pirkimo dokumentuose pateiktų duomenų (reikalavimų) būtų galima daryti prielaidą apie konkrečius šaltinius, konkrečius technologinius procesus, prekių ženklus, patentus, tipus, standartus, sertifikatus, konkrečią kilmę, gamybą ir pan., laikoma, kad jie yra tik orientaciniai ir tiekėjai teikdami pasiūlymą gali siūlyti lygiaverčius.</w:t>
      </w:r>
    </w:p>
    <w:p w:rsidR="00D129BC" w:rsidRDefault="00D129BC" w:rsidP="00D129B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w:t>
      </w:r>
    </w:p>
    <w:p w:rsidR="00D129BC" w:rsidRDefault="00D129BC" w:rsidP="00D129BC">
      <w:pPr>
        <w:pStyle w:val="Heading2"/>
        <w:numPr>
          <w:ilvl w:val="0"/>
          <w:numId w:val="4"/>
        </w:numPr>
        <w:spacing w:before="400"/>
        <w:jc w:val="both"/>
      </w:pPr>
      <w:bookmarkStart w:id="3" w:name="_Toc213327612"/>
      <w:r>
        <w:t>NEFUNKCINIAI REIKALAVIMAI</w:t>
      </w:r>
      <w:bookmarkEnd w:id="3"/>
    </w:p>
    <w:p w:rsidR="00D129BC" w:rsidRDefault="00D129BC" w:rsidP="00D129BC">
      <w:pPr>
        <w:pStyle w:val="Heading3"/>
        <w:numPr>
          <w:ilvl w:val="1"/>
          <w:numId w:val="4"/>
        </w:numPr>
      </w:pPr>
      <w:bookmarkStart w:id="4" w:name="_Toc213327613"/>
      <w:r>
        <w:t>Reikalavimai licencijoms</w:t>
      </w:r>
      <w:bookmarkEnd w:id="4"/>
    </w:p>
    <w:p w:rsidR="00D129BC" w:rsidRDefault="00D129BC" w:rsidP="00D129BC">
      <w:pPr>
        <w:numPr>
          <w:ilvl w:val="2"/>
          <w:numId w:val="4"/>
        </w:numPr>
        <w:jc w:val="both"/>
        <w:rPr>
          <w:sz w:val="24"/>
          <w:szCs w:val="24"/>
        </w:rPr>
      </w:pPr>
      <w:r>
        <w:rPr>
          <w:rFonts w:ascii="Times New Roman" w:eastAsia="Times New Roman" w:hAnsi="Times New Roman" w:cs="Times New Roman"/>
          <w:sz w:val="24"/>
          <w:szCs w:val="24"/>
        </w:rPr>
        <w:t>Turi būti pateikta neribota siūlomos Sistemos naudojimo licencija.</w:t>
      </w:r>
    </w:p>
    <w:p w:rsidR="00D129BC" w:rsidRDefault="00D129BC" w:rsidP="00D129BC">
      <w:pPr>
        <w:numPr>
          <w:ilvl w:val="2"/>
          <w:numId w:val="4"/>
        </w:numPr>
        <w:jc w:val="both"/>
        <w:rPr>
          <w:sz w:val="24"/>
          <w:szCs w:val="24"/>
        </w:rPr>
      </w:pPr>
      <w:r>
        <w:rPr>
          <w:rFonts w:ascii="Times New Roman" w:eastAsia="Times New Roman" w:hAnsi="Times New Roman" w:cs="Times New Roman"/>
          <w:sz w:val="24"/>
          <w:szCs w:val="24"/>
        </w:rPr>
        <w:t xml:space="preserve">Pateikiama licencija turi būti neišimtinė. Licencija turi galioti visame pasaulyje ir būti neterminuota, neribota, jos galiojimas turi būti nuolatinis ir be pabaigos. </w:t>
      </w:r>
      <w:r>
        <w:rPr>
          <w:rFonts w:ascii="Times New Roman" w:eastAsia="Times New Roman" w:hAnsi="Times New Roman" w:cs="Times New Roman"/>
          <w:sz w:val="24"/>
          <w:szCs w:val="24"/>
        </w:rPr>
        <w:br/>
      </w:r>
    </w:p>
    <w:p w:rsidR="00D129BC" w:rsidRDefault="00D129BC" w:rsidP="00D129BC">
      <w:pPr>
        <w:pStyle w:val="Heading3"/>
        <w:numPr>
          <w:ilvl w:val="1"/>
          <w:numId w:val="4"/>
        </w:numPr>
      </w:pPr>
      <w:r>
        <w:t xml:space="preserve"> </w:t>
      </w:r>
      <w:bookmarkStart w:id="5" w:name="_Toc213327614"/>
      <w:r>
        <w:t>Reikalavimai analizei ir projektavimui</w:t>
      </w:r>
      <w:bookmarkEnd w:id="5"/>
      <w:r>
        <w:t xml:space="preserve">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turi atlikti mokinių pasiekimų ir elgesio gerinimo valdymo procesų analizę;</w:t>
      </w:r>
    </w:p>
    <w:p w:rsidR="00D129BC" w:rsidRDefault="00D129BC" w:rsidP="00D129BC">
      <w:pPr>
        <w:numPr>
          <w:ilvl w:val="2"/>
          <w:numId w:val="4"/>
        </w:numPr>
        <w:jc w:val="both"/>
        <w:rPr>
          <w:rFonts w:ascii="Times New Roman" w:eastAsia="Times New Roman" w:hAnsi="Times New Roman" w:cs="Times New Roman"/>
          <w:color w:val="1E1C11"/>
          <w:sz w:val="24"/>
          <w:szCs w:val="24"/>
        </w:rPr>
      </w:pPr>
      <w:r>
        <w:rPr>
          <w:rFonts w:ascii="Times New Roman" w:eastAsia="Times New Roman" w:hAnsi="Times New Roman" w:cs="Times New Roman"/>
          <w:color w:val="1E1C11"/>
          <w:sz w:val="24"/>
          <w:szCs w:val="24"/>
        </w:rPr>
        <w:t xml:space="preserve">Analizės rezultatų pagrindu turi būti parengtas susitarimas su Perkančiąja organizacija, kurio pagrindu bus atliekami diegimo ir/ar konfigūravimo ir/ar programavimo ir/ar integravimo darbai.  </w:t>
      </w:r>
    </w:p>
    <w:p w:rsidR="00D129BC" w:rsidRDefault="00D129BC" w:rsidP="00D129BC">
      <w:pPr>
        <w:ind w:left="1984"/>
        <w:jc w:val="both"/>
        <w:rPr>
          <w:rFonts w:ascii="Times New Roman" w:eastAsia="Times New Roman" w:hAnsi="Times New Roman" w:cs="Times New Roman"/>
          <w:color w:val="1E1C11"/>
          <w:sz w:val="24"/>
          <w:szCs w:val="24"/>
        </w:rPr>
      </w:pPr>
    </w:p>
    <w:p w:rsidR="00D129BC" w:rsidRDefault="00D129BC" w:rsidP="00D129BC">
      <w:pPr>
        <w:pStyle w:val="Heading3"/>
        <w:numPr>
          <w:ilvl w:val="1"/>
          <w:numId w:val="4"/>
        </w:numPr>
      </w:pPr>
      <w:bookmarkStart w:id="6" w:name="_Toc213327615"/>
      <w:r>
        <w:t>Reikalavimai diegimui</w:t>
      </w:r>
      <w:bookmarkEnd w:id="6"/>
      <w:r>
        <w:t xml:space="preserve">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teikėjas turės instaliuoti siūlomą mokinių pasiekimų ir elgesio gerinimo valdymo sistemą savo infrastruktūroje ir atlikti jos priežiūrą.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Visas reikalingas licencijas Paslaugų teikėjas privalo įsiskaičiuoti į pasiūlymo kainą ir jas pateikti projekto vykdymo metu.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naudoja Microsoft </w:t>
      </w:r>
      <w:proofErr w:type="spellStart"/>
      <w:r>
        <w:rPr>
          <w:rFonts w:ascii="Times New Roman" w:eastAsia="Times New Roman" w:hAnsi="Times New Roman" w:cs="Times New Roman"/>
          <w:sz w:val="24"/>
          <w:szCs w:val="24"/>
        </w:rPr>
        <w:t>Azure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Directory</w:t>
      </w:r>
      <w:proofErr w:type="spellEnd"/>
      <w:r>
        <w:rPr>
          <w:rFonts w:ascii="Times New Roman" w:eastAsia="Times New Roman" w:hAnsi="Times New Roman" w:cs="Times New Roman"/>
          <w:sz w:val="24"/>
          <w:szCs w:val="24"/>
        </w:rPr>
        <w:t xml:space="preserve"> centralizuotam naudotojų valdymui, todėl prisijungimas prie Sistemos turi veikti ir per šį centralizuotą vartotojų valdymą.</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turės užtikrinti, kad Sistema sklandžiai veiktų ir su kitomis integruojamomis informacinėmis sistemomis.</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turės užtikrinti, kad Sistema turi turėti galimybę būti integruota ateityje su kitomis sistemomis duomenų apsikeitimui.</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teikėjas turės teikti projekto įgyvendinimo paslaugas (programos sukūrimą) </w:t>
      </w:r>
      <w:r>
        <w:rPr>
          <w:rFonts w:ascii="Times New Roman" w:eastAsia="Times New Roman" w:hAnsi="Times New Roman" w:cs="Times New Roman"/>
          <w:sz w:val="24"/>
          <w:szCs w:val="24"/>
          <w:u w:val="single"/>
        </w:rPr>
        <w:t>pagal abipusiai Paslaugų teikėjo ir Perkančiosios organizacijos sutartą darbo planą</w:t>
      </w:r>
      <w:r>
        <w:rPr>
          <w:rFonts w:ascii="Times New Roman" w:eastAsia="Times New Roman" w:hAnsi="Times New Roman" w:cs="Times New Roman"/>
          <w:sz w:val="24"/>
          <w:szCs w:val="24"/>
        </w:rPr>
        <w:t xml:space="preserve">, kurį pasirašo abi šalys.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Projekto vykdymo (Sistemos diegimo) ir garantinio aptarnavimo metu Paslaugų teikėjas turi parengti ir palaikyti dvi aplinkas - </w:t>
      </w:r>
      <w:proofErr w:type="spellStart"/>
      <w:r>
        <w:rPr>
          <w:rFonts w:ascii="Times New Roman" w:eastAsia="Times New Roman" w:hAnsi="Times New Roman" w:cs="Times New Roman"/>
          <w:sz w:val="24"/>
          <w:szCs w:val="24"/>
        </w:rPr>
        <w:t>testinę</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staging</w:t>
      </w:r>
      <w:proofErr w:type="spellEnd"/>
      <w:r>
        <w:rPr>
          <w:rFonts w:ascii="Times New Roman" w:eastAsia="Times New Roman" w:hAnsi="Times New Roman" w:cs="Times New Roman"/>
          <w:sz w:val="24"/>
          <w:szCs w:val="24"/>
        </w:rPr>
        <w:t>) ir gamybinę (</w:t>
      </w:r>
      <w:proofErr w:type="spellStart"/>
      <w:r>
        <w:rPr>
          <w:rFonts w:ascii="Times New Roman" w:eastAsia="Times New Roman" w:hAnsi="Times New Roman" w:cs="Times New Roman"/>
          <w:sz w:val="24"/>
          <w:szCs w:val="24"/>
        </w:rPr>
        <w:t>production</w:t>
      </w:r>
      <w:proofErr w:type="spellEnd"/>
      <w:r>
        <w:rPr>
          <w:rFonts w:ascii="Times New Roman" w:eastAsia="Times New Roman" w:hAnsi="Times New Roman" w:cs="Times New Roman"/>
          <w:sz w:val="24"/>
          <w:szCs w:val="24"/>
        </w:rPr>
        <w:t xml:space="preserve">). Visi pakeitimai ir nauji </w:t>
      </w:r>
      <w:proofErr w:type="spellStart"/>
      <w:r>
        <w:rPr>
          <w:rFonts w:ascii="Times New Roman" w:eastAsia="Times New Roman" w:hAnsi="Times New Roman" w:cs="Times New Roman"/>
          <w:sz w:val="24"/>
          <w:szCs w:val="24"/>
        </w:rPr>
        <w:t>funkcionalumai</w:t>
      </w:r>
      <w:proofErr w:type="spellEnd"/>
      <w:r>
        <w:rPr>
          <w:rFonts w:ascii="Times New Roman" w:eastAsia="Times New Roman" w:hAnsi="Times New Roman" w:cs="Times New Roman"/>
          <w:sz w:val="24"/>
          <w:szCs w:val="24"/>
        </w:rPr>
        <w:t xml:space="preserve"> turi būti pristatomi perkančiajai organizacijai </w:t>
      </w:r>
      <w:proofErr w:type="spellStart"/>
      <w:r>
        <w:rPr>
          <w:rFonts w:ascii="Times New Roman" w:eastAsia="Times New Roman" w:hAnsi="Times New Roman" w:cs="Times New Roman"/>
          <w:sz w:val="24"/>
          <w:szCs w:val="24"/>
        </w:rPr>
        <w:t>testinėje</w:t>
      </w:r>
      <w:proofErr w:type="spellEnd"/>
      <w:r>
        <w:rPr>
          <w:rFonts w:ascii="Times New Roman" w:eastAsia="Times New Roman" w:hAnsi="Times New Roman" w:cs="Times New Roman"/>
          <w:sz w:val="24"/>
          <w:szCs w:val="24"/>
        </w:rPr>
        <w:t xml:space="preserve"> aplinkoje ir tik po perkančiosios organizacijos patvirtinimo gali būti perkeliami į gamybinę aplinką.</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20 procentų numatytų darbų / </w:t>
      </w:r>
      <w:proofErr w:type="spellStart"/>
      <w:r>
        <w:rPr>
          <w:rFonts w:ascii="Times New Roman" w:eastAsia="Times New Roman" w:hAnsi="Times New Roman" w:cs="Times New Roman"/>
          <w:sz w:val="24"/>
          <w:szCs w:val="24"/>
        </w:rPr>
        <w:t>funkcionalumų</w:t>
      </w:r>
      <w:proofErr w:type="spellEnd"/>
      <w:r>
        <w:rPr>
          <w:rFonts w:ascii="Times New Roman" w:eastAsia="Times New Roman" w:hAnsi="Times New Roman" w:cs="Times New Roman"/>
          <w:sz w:val="24"/>
          <w:szCs w:val="24"/>
        </w:rPr>
        <w:t xml:space="preserve">, kol yra vykdoma sutartis, Perkančiosios organizacijos pageidavimu, gali būti keičiami kitais ne didesnės apimties darbais.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turi būti </w:t>
      </w:r>
      <w:proofErr w:type="spellStart"/>
      <w:r>
        <w:rPr>
          <w:rFonts w:ascii="Times New Roman" w:eastAsia="Times New Roman" w:hAnsi="Times New Roman" w:cs="Times New Roman"/>
          <w:sz w:val="24"/>
          <w:szCs w:val="24"/>
        </w:rPr>
        <w:t>konteinerizuota</w:t>
      </w:r>
      <w:proofErr w:type="spellEnd"/>
      <w:r>
        <w:rPr>
          <w:rFonts w:ascii="Times New Roman" w:eastAsia="Times New Roman" w:hAnsi="Times New Roman" w:cs="Times New Roman"/>
          <w:sz w:val="24"/>
          <w:szCs w:val="24"/>
        </w:rPr>
        <w:t xml:space="preserve"> ir turėti galimybę būti diegiama bet kurioje infrastruktūroje, palaikančioje konteinerių vykdymą. Tai užtikrina infrastruktūros tiekėjo nepriklausomumą, diegimo lankstumą ir lengvą perkėlimą tarp skirtingų </w:t>
      </w:r>
      <w:proofErr w:type="spellStart"/>
      <w:r>
        <w:rPr>
          <w:rFonts w:ascii="Times New Roman" w:eastAsia="Times New Roman" w:hAnsi="Times New Roman" w:cs="Times New Roman"/>
          <w:sz w:val="24"/>
          <w:szCs w:val="24"/>
        </w:rPr>
        <w:t>debesijos</w:t>
      </w:r>
      <w:proofErr w:type="spellEnd"/>
      <w:r>
        <w:rPr>
          <w:rFonts w:ascii="Times New Roman" w:eastAsia="Times New Roman" w:hAnsi="Times New Roman" w:cs="Times New Roman"/>
          <w:sz w:val="24"/>
          <w:szCs w:val="24"/>
        </w:rPr>
        <w:t xml:space="preserve"> ar lokalių sprendimų.</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garantuoti, kad jokia sistemos dalis po priežiūros laikotarpio nesustos veikti dėl trečiųjų šalių paslaugų ar licencijų išjungimo/pabaigos.</w:t>
      </w:r>
      <w:r>
        <w:rPr>
          <w:rFonts w:ascii="Times New Roman" w:eastAsia="Times New Roman" w:hAnsi="Times New Roman" w:cs="Times New Roman"/>
          <w:sz w:val="24"/>
          <w:szCs w:val="24"/>
        </w:rPr>
        <w:br/>
      </w:r>
    </w:p>
    <w:p w:rsidR="00D129BC" w:rsidRDefault="00D129BC" w:rsidP="00D129BC">
      <w:pPr>
        <w:pStyle w:val="Heading3"/>
        <w:numPr>
          <w:ilvl w:val="1"/>
          <w:numId w:val="4"/>
        </w:numPr>
      </w:pPr>
      <w:bookmarkStart w:id="7" w:name="_Toc213327616"/>
      <w:r>
        <w:t>Reikalavimai integravimui su Perkančiosios organizacijos naudojamomis informacinėmis sistemomis</w:t>
      </w:r>
      <w:bookmarkEnd w:id="7"/>
      <w:r>
        <w:t xml:space="preserve"> </w:t>
      </w:r>
    </w:p>
    <w:p w:rsidR="00D129BC" w:rsidRDefault="00D129BC" w:rsidP="00D129BC">
      <w:pPr>
        <w:ind w:left="992" w:firstLine="4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Integravimo tikslas – automatizuoti mokinio ir jį lydinčių, su pažanga susijusių duomenų, apsikeitimą su kitomis, jau naudojamomis sistemomis, maksimaliai išvengiant rankinio darbo ir duomenų dubliavimosi. </w:t>
      </w:r>
    </w:p>
    <w:p w:rsidR="000E466D" w:rsidRDefault="000E466D" w:rsidP="000E466D">
      <w:pPr>
        <w:ind w:left="992" w:firstLine="448"/>
        <w:jc w:val="both"/>
        <w:rPr>
          <w:rFonts w:ascii="Times New Roman" w:eastAsia="Times New Roman" w:hAnsi="Times New Roman" w:cs="Times New Roman"/>
          <w:sz w:val="24"/>
          <w:szCs w:val="24"/>
        </w:rPr>
      </w:pPr>
      <w:r w:rsidRPr="000E466D">
        <w:rPr>
          <w:rFonts w:ascii="Times New Roman" w:eastAsia="Times New Roman" w:hAnsi="Times New Roman" w:cs="Times New Roman"/>
          <w:sz w:val="24"/>
          <w:szCs w:val="24"/>
        </w:rPr>
        <w:t xml:space="preserve">Paslaugų teikėjas turi atlikti visas integracijos veiklas nuo pradinės analizės, </w:t>
      </w:r>
      <w:r w:rsidRPr="00A90AC3">
        <w:rPr>
          <w:rFonts w:ascii="Times New Roman" w:eastAsia="Times New Roman" w:hAnsi="Times New Roman" w:cs="Times New Roman"/>
          <w:sz w:val="24"/>
          <w:szCs w:val="24"/>
        </w:rPr>
        <w:t>susitarimų su trečiosiomis šalimis</w:t>
      </w:r>
      <w:r w:rsidRPr="000E466D">
        <w:rPr>
          <w:rFonts w:ascii="Times New Roman" w:eastAsia="Times New Roman" w:hAnsi="Times New Roman" w:cs="Times New Roman"/>
          <w:sz w:val="24"/>
          <w:szCs w:val="24"/>
        </w:rPr>
        <w:t xml:space="preserve"> iki veikiančio integracijos sprendimo gamybinėje aplinkoje savo </w:t>
      </w:r>
      <w:proofErr w:type="spellStart"/>
      <w:r w:rsidRPr="000E466D">
        <w:rPr>
          <w:rFonts w:ascii="Times New Roman" w:eastAsia="Times New Roman" w:hAnsi="Times New Roman" w:cs="Times New Roman"/>
          <w:sz w:val="24"/>
          <w:szCs w:val="24"/>
        </w:rPr>
        <w:t>pajėgumais</w:t>
      </w:r>
      <w:proofErr w:type="spellEnd"/>
      <w:r w:rsidRPr="000E466D">
        <w:rPr>
          <w:rFonts w:ascii="Times New Roman" w:eastAsia="Times New Roman" w:hAnsi="Times New Roman" w:cs="Times New Roman"/>
          <w:sz w:val="24"/>
          <w:szCs w:val="24"/>
        </w:rPr>
        <w:t xml:space="preserve"> ir lėšomis, įskaitant </w:t>
      </w:r>
      <w:proofErr w:type="spellStart"/>
      <w:r w:rsidRPr="000E466D">
        <w:rPr>
          <w:rFonts w:ascii="Times New Roman" w:eastAsia="Times New Roman" w:hAnsi="Times New Roman" w:cs="Times New Roman"/>
          <w:sz w:val="24"/>
          <w:szCs w:val="24"/>
        </w:rPr>
        <w:t>mokėjimus</w:t>
      </w:r>
      <w:proofErr w:type="spellEnd"/>
      <w:r w:rsidRPr="000E466D">
        <w:rPr>
          <w:rFonts w:ascii="Times New Roman" w:eastAsia="Times New Roman" w:hAnsi="Times New Roman" w:cs="Times New Roman"/>
          <w:sz w:val="24"/>
          <w:szCs w:val="24"/>
        </w:rPr>
        <w:t xml:space="preserve"> trečiosioms šalims, galimus sistemos palaikymo mokesčius ar kitus nenumatytus mokesčius ir pan., susijusius su programos sukūrimu ir kokybišku veikimu.</w:t>
      </w:r>
    </w:p>
    <w:p w:rsidR="000E466D" w:rsidRDefault="00D129BC" w:rsidP="000E466D">
      <w:pPr>
        <w:ind w:left="992" w:firstLine="4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 apima, bet neapsiriboja:</w:t>
      </w:r>
    </w:p>
    <w:p w:rsidR="00D129BC" w:rsidRDefault="00D129BC" w:rsidP="000E466D">
      <w:pPr>
        <w:ind w:left="992" w:firstLine="4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trečiųjų šalių sistemų (pvz. elektroninio dienyno, mokinių registro</w:t>
      </w:r>
      <w:r w:rsidRPr="00A90AC3">
        <w:rPr>
          <w:rFonts w:ascii="Times New Roman" w:eastAsia="Times New Roman" w:hAnsi="Times New Roman" w:cs="Times New Roman"/>
          <w:sz w:val="24"/>
          <w:szCs w:val="24"/>
        </w:rPr>
        <w:t>, pedagogų registro ir kt.</w:t>
      </w:r>
      <w:r w:rsidR="004B0FF9">
        <w:rPr>
          <w:rFonts w:ascii="Times New Roman" w:eastAsia="Times New Roman" w:hAnsi="Times New Roman" w:cs="Times New Roman"/>
          <w:sz w:val="24"/>
          <w:szCs w:val="24"/>
        </w:rPr>
        <w:t>) analize</w:t>
      </w:r>
      <w:r>
        <w:rPr>
          <w:rFonts w:ascii="Times New Roman" w:eastAsia="Times New Roman" w:hAnsi="Times New Roman" w:cs="Times New Roman"/>
          <w:sz w:val="24"/>
          <w:szCs w:val="24"/>
        </w:rPr>
        <w:t>;</w:t>
      </w:r>
    </w:p>
    <w:p w:rsidR="00D129BC" w:rsidRDefault="00D129BC" w:rsidP="00D129BC">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autentifikacijos</w:t>
      </w:r>
      <w:proofErr w:type="spellEnd"/>
      <w:r>
        <w:rPr>
          <w:rFonts w:ascii="Times New Roman" w:eastAsia="Times New Roman" w:hAnsi="Times New Roman" w:cs="Times New Roman"/>
          <w:sz w:val="24"/>
          <w:szCs w:val="24"/>
        </w:rPr>
        <w:t>, duomenų struktūrų ir konvertavimo suderi</w:t>
      </w:r>
      <w:r w:rsidR="004B0FF9">
        <w:rPr>
          <w:rFonts w:ascii="Times New Roman" w:eastAsia="Times New Roman" w:hAnsi="Times New Roman" w:cs="Times New Roman"/>
          <w:sz w:val="24"/>
          <w:szCs w:val="24"/>
        </w:rPr>
        <w:t>nimu</w:t>
      </w:r>
      <w:r>
        <w:rPr>
          <w:rFonts w:ascii="Times New Roman" w:eastAsia="Times New Roman" w:hAnsi="Times New Roman" w:cs="Times New Roman"/>
          <w:sz w:val="24"/>
          <w:szCs w:val="24"/>
        </w:rPr>
        <w:t xml:space="preserve"> tarp sistemų;</w:t>
      </w:r>
    </w:p>
    <w:p w:rsidR="00D129BC" w:rsidRDefault="00D129BC" w:rsidP="00D129BC">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API jungčių testavim</w:t>
      </w:r>
      <w:r w:rsidR="004B0FF9">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su konkrečiomis sistemomis;</w:t>
      </w:r>
    </w:p>
    <w:p w:rsidR="00D129BC" w:rsidRDefault="00D129BC" w:rsidP="00D129BC">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w:t>
      </w:r>
      <w:r w:rsidR="004B0FF9">
        <w:rPr>
          <w:rFonts w:ascii="Times New Roman" w:eastAsia="Times New Roman" w:hAnsi="Times New Roman" w:cs="Times New Roman"/>
          <w:sz w:val="24"/>
          <w:szCs w:val="24"/>
        </w:rPr>
        <w:t>gracijų</w:t>
      </w:r>
      <w:proofErr w:type="spellEnd"/>
      <w:r w:rsidR="004B0FF9">
        <w:rPr>
          <w:rFonts w:ascii="Times New Roman" w:eastAsia="Times New Roman" w:hAnsi="Times New Roman" w:cs="Times New Roman"/>
          <w:sz w:val="24"/>
          <w:szCs w:val="24"/>
        </w:rPr>
        <w:t xml:space="preserve"> dokumentacijos parengimu</w:t>
      </w:r>
      <w:r>
        <w:rPr>
          <w:rFonts w:ascii="Times New Roman" w:eastAsia="Times New Roman" w:hAnsi="Times New Roman" w:cs="Times New Roman"/>
          <w:sz w:val="24"/>
          <w:szCs w:val="24"/>
        </w:rPr>
        <w:t>;</w:t>
      </w:r>
    </w:p>
    <w:p w:rsidR="00D129BC" w:rsidRPr="00A90AC3" w:rsidRDefault="00D129BC" w:rsidP="00D129BC">
      <w:pPr>
        <w:ind w:left="992"/>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 susitarim</w:t>
      </w:r>
      <w:r w:rsidR="004B0FF9" w:rsidRPr="00A90AC3">
        <w:rPr>
          <w:rFonts w:ascii="Times New Roman" w:eastAsia="Times New Roman" w:hAnsi="Times New Roman" w:cs="Times New Roman"/>
          <w:sz w:val="24"/>
          <w:szCs w:val="24"/>
        </w:rPr>
        <w:t>ai</w:t>
      </w:r>
      <w:r w:rsidRPr="00A90AC3">
        <w:rPr>
          <w:rFonts w:ascii="Times New Roman" w:eastAsia="Times New Roman" w:hAnsi="Times New Roman" w:cs="Times New Roman"/>
          <w:sz w:val="24"/>
          <w:szCs w:val="24"/>
        </w:rPr>
        <w:t>s su trečiosiomis šalimis dėl duomenų apsikeitimo;</w:t>
      </w:r>
    </w:p>
    <w:p w:rsidR="00D129BC" w:rsidRDefault="00D129BC" w:rsidP="00D129BC">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FF9">
        <w:rPr>
          <w:rFonts w:ascii="Times New Roman" w:eastAsia="Times New Roman" w:hAnsi="Times New Roman" w:cs="Times New Roman"/>
          <w:sz w:val="24"/>
          <w:szCs w:val="24"/>
        </w:rPr>
        <w:t>integracijos sprendimo perdavimu</w:t>
      </w:r>
      <w:r>
        <w:rPr>
          <w:rFonts w:ascii="Times New Roman" w:eastAsia="Times New Roman" w:hAnsi="Times New Roman" w:cs="Times New Roman"/>
          <w:sz w:val="24"/>
          <w:szCs w:val="24"/>
        </w:rPr>
        <w:t xml:space="preserve"> Perkančiajai organizacijai kaip pilnai veikianč</w:t>
      </w:r>
      <w:r w:rsidR="004B0FF9">
        <w:rPr>
          <w:rFonts w:ascii="Times New Roman" w:eastAsia="Times New Roman" w:hAnsi="Times New Roman" w:cs="Times New Roman"/>
          <w:sz w:val="24"/>
          <w:szCs w:val="24"/>
        </w:rPr>
        <w:t>ios</w:t>
      </w:r>
      <w:r>
        <w:rPr>
          <w:rFonts w:ascii="Times New Roman" w:eastAsia="Times New Roman" w:hAnsi="Times New Roman" w:cs="Times New Roman"/>
          <w:sz w:val="24"/>
          <w:szCs w:val="24"/>
        </w:rPr>
        <w:t xml:space="preserve"> funkcij</w:t>
      </w:r>
      <w:r w:rsidR="004B0FF9">
        <w:rPr>
          <w:rFonts w:ascii="Times New Roman" w:eastAsia="Times New Roman" w:hAnsi="Times New Roman" w:cs="Times New Roman"/>
          <w:sz w:val="24"/>
          <w:szCs w:val="24"/>
        </w:rPr>
        <w:t>os</w:t>
      </w:r>
      <w:r>
        <w:rPr>
          <w:rFonts w:ascii="Times New Roman" w:eastAsia="Times New Roman" w:hAnsi="Times New Roman" w:cs="Times New Roman"/>
          <w:sz w:val="24"/>
          <w:szCs w:val="24"/>
        </w:rPr>
        <w:t>.</w:t>
      </w:r>
    </w:p>
    <w:p w:rsidR="00D129BC" w:rsidRDefault="00D129BC" w:rsidP="00D129BC">
      <w:pPr>
        <w:ind w:left="992" w:firstLine="4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Reikalingos integracijos ir preliminari duomenų apsikeitimo apimtis:</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w:t>
      </w:r>
      <w:proofErr w:type="spellStart"/>
      <w:r>
        <w:rPr>
          <w:rFonts w:ascii="Times New Roman" w:eastAsia="Times New Roman" w:hAnsi="Times New Roman" w:cs="Times New Roman"/>
          <w:sz w:val="24"/>
          <w:szCs w:val="24"/>
        </w:rPr>
        <w:t>Azure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Directory</w:t>
      </w:r>
      <w:proofErr w:type="spellEnd"/>
      <w:r>
        <w:rPr>
          <w:rFonts w:ascii="Times New Roman" w:eastAsia="Times New Roman" w:hAnsi="Times New Roman" w:cs="Times New Roman"/>
          <w:sz w:val="24"/>
          <w:szCs w:val="24"/>
        </w:rPr>
        <w:t xml:space="preserve"> - vartotojų teisių kontrolė, personalo sąrašas, vartotojų prieigos kontrolė </w:t>
      </w:r>
      <w:r w:rsidRPr="00A90AC3">
        <w:rPr>
          <w:rFonts w:ascii="Times New Roman" w:eastAsia="Times New Roman" w:hAnsi="Times New Roman" w:cs="Times New Roman"/>
          <w:sz w:val="24"/>
          <w:szCs w:val="24"/>
        </w:rPr>
        <w:t>(</w:t>
      </w:r>
      <w:r w:rsidR="004B0FF9" w:rsidRPr="00A90AC3">
        <w:rPr>
          <w:rFonts w:ascii="Times New Roman" w:eastAsia="Times New Roman" w:hAnsi="Times New Roman" w:cs="Times New Roman"/>
          <w:sz w:val="24"/>
          <w:szCs w:val="24"/>
        </w:rPr>
        <w:t xml:space="preserve">API valdo </w:t>
      </w:r>
      <w:r w:rsidRPr="00A90AC3">
        <w:rPr>
          <w:rFonts w:ascii="Times New Roman" w:eastAsia="Times New Roman" w:hAnsi="Times New Roman" w:cs="Times New Roman"/>
          <w:sz w:val="24"/>
          <w:szCs w:val="24"/>
        </w:rPr>
        <w:t>Perkančioji organizacija)</w:t>
      </w:r>
    </w:p>
    <w:p w:rsidR="00D129BC" w:rsidRPr="00A90AC3" w:rsidRDefault="004B0FF9" w:rsidP="00D129BC">
      <w:pPr>
        <w:numPr>
          <w:ilvl w:val="2"/>
          <w:numId w:val="4"/>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w:t>
      </w:r>
      <w:r w:rsidR="00D129BC" w:rsidRPr="00A90AC3">
        <w:rPr>
          <w:rFonts w:ascii="Times New Roman" w:eastAsia="Times New Roman" w:hAnsi="Times New Roman" w:cs="Times New Roman"/>
          <w:sz w:val="24"/>
          <w:szCs w:val="24"/>
        </w:rPr>
        <w:t>Mano dienynas</w:t>
      </w:r>
      <w:r w:rsidRPr="00A90AC3">
        <w:rPr>
          <w:rFonts w:ascii="Times New Roman" w:eastAsia="Times New Roman" w:hAnsi="Times New Roman" w:cs="Times New Roman"/>
          <w:sz w:val="24"/>
          <w:szCs w:val="24"/>
        </w:rPr>
        <w:t>“</w:t>
      </w:r>
      <w:r w:rsidR="00D129BC" w:rsidRPr="00A90AC3">
        <w:rPr>
          <w:rFonts w:ascii="Times New Roman" w:eastAsia="Times New Roman" w:hAnsi="Times New Roman" w:cs="Times New Roman"/>
          <w:sz w:val="24"/>
          <w:szCs w:val="24"/>
        </w:rPr>
        <w:t xml:space="preserve"> (elektroninis dienynas) - mokinių pažymių ir lankomumo duomenys (duomenų apsikeitimą ir API valdo trečioji šalis)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Elektroninis mokinių registras - mokinių duomenų rinkmenos </w:t>
      </w:r>
      <w:r w:rsidRPr="00A90AC3">
        <w:rPr>
          <w:rFonts w:ascii="Times New Roman" w:eastAsia="Times New Roman" w:hAnsi="Times New Roman" w:cs="Times New Roman"/>
          <w:sz w:val="24"/>
          <w:szCs w:val="24"/>
        </w:rPr>
        <w:t>(duomenų apsikeitimą ir API valdo Nacionalinė švietimo agentūra)</w:t>
      </w:r>
    </w:p>
    <w:p w:rsidR="004B0FF9" w:rsidRDefault="00D129BC" w:rsidP="004B0FF9">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Elektroninis pedagogų registras - pedagogų duomenų rinkmenos </w:t>
      </w:r>
      <w:r w:rsidRPr="00A90AC3">
        <w:rPr>
          <w:rFonts w:ascii="Times New Roman" w:eastAsia="Times New Roman" w:hAnsi="Times New Roman" w:cs="Times New Roman"/>
          <w:sz w:val="24"/>
          <w:szCs w:val="24"/>
        </w:rPr>
        <w:t>(duomenų apsikeitimą ir API valdo Nacionalinė švietimo agentūra)</w:t>
      </w:r>
    </w:p>
    <w:p w:rsidR="004B0FF9" w:rsidRPr="004B0FF9" w:rsidRDefault="004B0FF9" w:rsidP="004B0FF9">
      <w:pPr>
        <w:ind w:left="1984"/>
        <w:jc w:val="both"/>
        <w:rPr>
          <w:rFonts w:ascii="Times New Roman" w:eastAsia="Times New Roman" w:hAnsi="Times New Roman" w:cs="Times New Roman"/>
          <w:sz w:val="24"/>
          <w:szCs w:val="24"/>
        </w:rPr>
      </w:pPr>
    </w:p>
    <w:p w:rsidR="00D129BC" w:rsidRDefault="00D129BC" w:rsidP="00D129BC">
      <w:pPr>
        <w:pStyle w:val="Heading3"/>
        <w:numPr>
          <w:ilvl w:val="1"/>
          <w:numId w:val="4"/>
        </w:numPr>
      </w:pPr>
      <w:bookmarkStart w:id="8" w:name="_Toc213327617"/>
      <w:r>
        <w:t>Reikalavimai mokymams</w:t>
      </w:r>
      <w:bookmarkEnd w:id="8"/>
      <w:r>
        <w:t xml:space="preserve">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Mokymai administratorių / registratorių tikslinei naudotojų grupei.</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Mokymai IT administratorių tikslinei naudotojų grupei.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Mokymai turės būti vykdomi Perkančiosios organizacijos patalpose.</w:t>
      </w:r>
      <w:r>
        <w:rPr>
          <w:rFonts w:ascii="Times New Roman" w:eastAsia="Times New Roman" w:hAnsi="Times New Roman" w:cs="Times New Roman"/>
          <w:sz w:val="24"/>
          <w:szCs w:val="24"/>
        </w:rPr>
        <w:br/>
      </w:r>
    </w:p>
    <w:p w:rsidR="00D129BC" w:rsidRDefault="00D129BC" w:rsidP="00D129BC">
      <w:pPr>
        <w:pStyle w:val="Heading3"/>
        <w:numPr>
          <w:ilvl w:val="1"/>
          <w:numId w:val="4"/>
        </w:numPr>
      </w:pPr>
      <w:bookmarkStart w:id="9" w:name="_Toc213327618"/>
      <w:r>
        <w:t>Reikalavimai priežiūrai</w:t>
      </w:r>
      <w:bookmarkEnd w:id="9"/>
      <w:r>
        <w:t xml:space="preserve"> </w:t>
      </w:r>
    </w:p>
    <w:p w:rsidR="00D129BC" w:rsidRDefault="00D129BC" w:rsidP="00D129B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Siūlomai Sistemai turi būti suteikiama nemokama 24 mėnesių priežiūros paslauga, pradedant skaičiuoti nuo Sistemos įdiegimo. Priežiūros paslauga turi užtikrinti: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užregistruotų Sistemos klaidų taisymą; </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Versijų atnaujinimą;</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Saugumo paketų diegimą;</w:t>
      </w:r>
    </w:p>
    <w:p w:rsidR="00D129BC" w:rsidRDefault="00D129BC" w:rsidP="00D129BC">
      <w:pPr>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Perkančiosios organizacijos darbo valandomis neribotas laike konsultacijas naudojimosi klausimais telefonu, el.  paštu ir prisijungus per nuotolį.</w:t>
      </w:r>
      <w:r>
        <w:br w:type="page"/>
      </w:r>
    </w:p>
    <w:p w:rsidR="00D129BC" w:rsidRDefault="00D129BC" w:rsidP="00D129BC">
      <w:pPr>
        <w:pStyle w:val="Heading2"/>
        <w:numPr>
          <w:ilvl w:val="0"/>
          <w:numId w:val="4"/>
        </w:numPr>
      </w:pPr>
      <w:bookmarkStart w:id="10" w:name="_Toc213327619"/>
      <w:r>
        <w:t>FUNKCINIAI REIKALAVIMAI</w:t>
      </w:r>
      <w:bookmarkEnd w:id="10"/>
    </w:p>
    <w:p w:rsidR="00D129BC" w:rsidRDefault="00D129BC" w:rsidP="00D129BC">
      <w:pPr>
        <w:pStyle w:val="Heading3"/>
        <w:numPr>
          <w:ilvl w:val="1"/>
          <w:numId w:val="4"/>
        </w:numPr>
      </w:pPr>
      <w:bookmarkStart w:id="11" w:name="_Toc213327620"/>
      <w:r>
        <w:t>Bendrieji techniniai reikalavimai</w:t>
      </w:r>
      <w:bookmarkEnd w:id="11"/>
    </w:p>
    <w:tbl>
      <w:tblPr>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D129BC" w:rsidTr="005F69A5">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left="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firstLine="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Reikalavimas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duomenys, kaupiami Sistemoje, turi būti saugomi serveriuose, esančiuose Europos sąjungos ribose.</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 kokia forma atliekamas duomenų apdorojimas, analizė ar bet kokiu būdu atliekamas duomenų, esančių Sistemoje dalijimasis su trečiųjų šalių sistemomis negali būti daromas išeinant už Europos sąjungos ribų.</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būti atviros architektūros, turėti galimybę plėsti šios sistemos funkcionalumą ir integruoti ją su kitomis informacinėmis sistemomis.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sudarytos galimybės Sistemą ateityje vystyti ir kitiems paslaugų teikėjams.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Dokumentų metaduomenys ir įstaigos veiklos procesų duomenys Sistemoje turi būti saugomi reliacinėje duomenų bazėje.</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turi užtikrinti našų ne mažiau kaip 50 naudotojų darbą vienu metu, </w:t>
            </w:r>
            <w:proofErr w:type="spellStart"/>
            <w:r>
              <w:rPr>
                <w:rFonts w:ascii="Times New Roman" w:eastAsia="Times New Roman" w:hAnsi="Times New Roman" w:cs="Times New Roman"/>
                <w:sz w:val="24"/>
                <w:szCs w:val="24"/>
              </w:rPr>
              <w:t>t.y</w:t>
            </w:r>
            <w:proofErr w:type="spellEnd"/>
            <w:r>
              <w:rPr>
                <w:rFonts w:ascii="Times New Roman" w:eastAsia="Times New Roman" w:hAnsi="Times New Roman" w:cs="Times New Roman"/>
                <w:sz w:val="24"/>
                <w:szCs w:val="24"/>
              </w:rPr>
              <w:t>. laukiamų iš sistemos veiksmų - ekraninio puslapio, formos parodymo ar išsaugojimo, pasirinkimo dialogo parodymo, paieškos - vidutinė atlikimo trukmė būtų ne ilgesnė nei 3 sekundės (neskaitant duomenų, ateinančių iš trečiųjų šalių, atvaizdavimo, diagramų ir ataskaitų formavimo)</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turėti lietuvišką naudotojo sąsają, kuri turi atitikti Valstybinės lietuvių kalbos įstatymą.</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pBdr>
                <w:top w:val="nil"/>
                <w:left w:val="nil"/>
                <w:bottom w:val="nil"/>
                <w:right w:val="nil"/>
                <w:between w:val="nil"/>
              </w:pBd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Sistemos sąsaja turi būti įgyvendinta ir palaikoma interneto naršyklėje su galimybe naudoti saugų duomenų apsikeitimo protokolą HTTPS.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pBdr>
                <w:top w:val="nil"/>
                <w:left w:val="nil"/>
                <w:bottom w:val="nil"/>
                <w:right w:val="nil"/>
                <w:between w:val="nil"/>
              </w:pBd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kelti minimalius kompiuterinio raštingumo reikalavimus Sistemos naudotojams, turėti paprastą taikomosios programinės įrangos administravimo funkcijų rinkinį.</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pBdr>
                <w:top w:val="nil"/>
                <w:left w:val="nil"/>
                <w:bottom w:val="nil"/>
                <w:right w:val="nil"/>
                <w:between w:val="nil"/>
              </w:pBd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turi palaikyti saugaus ryšio sertifikatą ir užtikrinti saugų duomenų tarp naudotojų kompiuterių ir serverio perdavimą, </w:t>
            </w:r>
            <w:proofErr w:type="spellStart"/>
            <w:r>
              <w:rPr>
                <w:rFonts w:ascii="Times New Roman" w:eastAsia="Times New Roman" w:hAnsi="Times New Roman" w:cs="Times New Roman"/>
                <w:sz w:val="24"/>
                <w:szCs w:val="24"/>
              </w:rPr>
              <w:t>t.y</w:t>
            </w:r>
            <w:proofErr w:type="spellEnd"/>
            <w:r>
              <w:rPr>
                <w:rFonts w:ascii="Times New Roman" w:eastAsia="Times New Roman" w:hAnsi="Times New Roman" w:cs="Times New Roman"/>
                <w:sz w:val="24"/>
                <w:szCs w:val="24"/>
              </w:rPr>
              <w:t>. užtikrinti saugų sesijos režimą ir veikti tik TLS kanalu.</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pBdr>
                <w:top w:val="nil"/>
                <w:left w:val="nil"/>
                <w:bottom w:val="nil"/>
                <w:right w:val="nil"/>
                <w:between w:val="nil"/>
              </w:pBd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Sistemos palaikymą ir priežiūrą turi atlikti lietuvių kalba.</w:t>
            </w:r>
          </w:p>
        </w:tc>
      </w:tr>
      <w:tr w:rsidR="00D129BC" w:rsidTr="005F69A5">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leisti keliems vartotojams tuo pačiu metu atlikti užklausas ir generuoti ataskaitas.</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turėti galimybę eksportuoti duomenis populiariais duomenų saugojimo formatais (pvz. .</w:t>
            </w:r>
            <w:proofErr w:type="spellStart"/>
            <w:r>
              <w:rPr>
                <w:rFonts w:ascii="Times New Roman" w:eastAsia="Times New Roman" w:hAnsi="Times New Roman" w:cs="Times New Roman"/>
                <w:sz w:val="24"/>
                <w:szCs w:val="24"/>
              </w:rPr>
              <w:t>xlsx</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csv</w:t>
            </w:r>
            <w:proofErr w:type="spellEnd"/>
            <w:r>
              <w:rPr>
                <w:rFonts w:ascii="Times New Roman" w:eastAsia="Times New Roman" w:hAnsi="Times New Roman" w:cs="Times New Roman"/>
                <w:sz w:val="24"/>
                <w:szCs w:val="24"/>
              </w:rPr>
              <w:t xml:space="preserve"> ar kt.), taip pat galimybę riboti šią funkciją atskiroms vartotojų grupėms.</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palaikyti galimybę palaikyti daugiau negu vieną aktyvią sesiją vienu metu tam pačiam vartotojui.</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pagal perkančiosios organizacijos pageidavimus (nebūtinai nurodytus šiame dokumente) turi turėti galimybę sukonfigūruoti Sistemoje kurie laukai yra privalomi įvesti, o kurie pasirenkami.</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pBdr>
                <w:top w:val="nil"/>
                <w:left w:val="nil"/>
                <w:bottom w:val="nil"/>
                <w:right w:val="nil"/>
                <w:between w:val="nil"/>
              </w:pBd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neturi turėti jokių funkcijų ar priklausomybių, kurių veikimas ar aktyvavimas sistemos naudojimo metu pareikalautų iš Perkančiosios organizacijos papildomų licencijų, prenumeratų ar paslaugų planų įsigijimo iš trečiųjų šalių (įskaitant infrastruktūrinius komponentus, pvz., serverius, duomenų bazes ar saugumo priemones).</w:t>
            </w:r>
          </w:p>
          <w:p w:rsidR="00D129BC" w:rsidRDefault="00D129BC" w:rsidP="005F69A5">
            <w:pPr>
              <w:pBdr>
                <w:top w:val="nil"/>
                <w:left w:val="nil"/>
                <w:bottom w:val="nil"/>
                <w:right w:val="nil"/>
                <w:between w:val="nil"/>
              </w:pBd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būti pateikta su visomis reikiamomis licencijomis visam naudojimo laikotarpiui, užtikrinant visišką jos veikimą be papildomų kaštų. Paslaugų tiekėjas turi pateikti programinę įrangą su visomis reikiamomis licencijomis sutarties galiojimo laikotarpiui.</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pBdr>
                <w:top w:val="nil"/>
                <w:left w:val="nil"/>
                <w:bottom w:val="nil"/>
                <w:right w:val="nil"/>
                <w:between w:val="nil"/>
              </w:pBd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turi veikti tiek stacionariuose ar nešiojamuose kompiuteriuose su Windows, MAC OS ar Linux operacinėmis sistemomis, tiek ir mobiliuose įrenginiuose su </w:t>
            </w:r>
            <w:proofErr w:type="spellStart"/>
            <w:r>
              <w:rPr>
                <w:rFonts w:ascii="Times New Roman" w:eastAsia="Times New Roman" w:hAnsi="Times New Roman" w:cs="Times New Roman"/>
                <w:sz w:val="24"/>
                <w:szCs w:val="24"/>
              </w:rPr>
              <w:t>Android</w:t>
            </w:r>
            <w:proofErr w:type="spellEnd"/>
            <w:r>
              <w:rPr>
                <w:rFonts w:ascii="Times New Roman" w:eastAsia="Times New Roman" w:hAnsi="Times New Roman" w:cs="Times New Roman"/>
                <w:sz w:val="24"/>
                <w:szCs w:val="24"/>
              </w:rPr>
              <w:t xml:space="preserve"> ir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xml:space="preserve"> operacinėmis sistemomis. </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turi būti pasiekiama pilnai veikianti su Chrome, </w:t>
            </w:r>
            <w:proofErr w:type="spellStart"/>
            <w:r>
              <w:rPr>
                <w:rFonts w:ascii="Times New Roman" w:eastAsia="Times New Roman" w:hAnsi="Times New Roman" w:cs="Times New Roman"/>
                <w:sz w:val="24"/>
                <w:szCs w:val="24"/>
              </w:rPr>
              <w:t>Safari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Edge</w:t>
            </w:r>
            <w:proofErr w:type="spellEnd"/>
            <w:r>
              <w:rPr>
                <w:rFonts w:ascii="Times New Roman" w:eastAsia="Times New Roman" w:hAnsi="Times New Roman" w:cs="Times New Roman"/>
                <w:sz w:val="24"/>
                <w:szCs w:val="24"/>
              </w:rPr>
              <w:t xml:space="preserve"> ir Firefox interneto naršyklių naujausiomis versijomis.</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color w:val="CC0000"/>
                <w:sz w:val="24"/>
                <w:szCs w:val="24"/>
              </w:rPr>
            </w:pPr>
            <w:r>
              <w:rPr>
                <w:rFonts w:ascii="Times New Roman" w:eastAsia="Times New Roman" w:hAnsi="Times New Roman" w:cs="Times New Roman"/>
                <w:sz w:val="24"/>
                <w:szCs w:val="24"/>
              </w:rPr>
              <w:t>Sistema turi turėti API informacijos apsikeitimui su trečiųjų šalių informacinėmis sistemomis</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B20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negali priklausyti nuo infrastruktūros sprendimų ar </w:t>
            </w:r>
            <w:proofErr w:type="spellStart"/>
            <w:r>
              <w:rPr>
                <w:rFonts w:ascii="Times New Roman" w:eastAsia="Times New Roman" w:hAnsi="Times New Roman" w:cs="Times New Roman"/>
                <w:sz w:val="24"/>
                <w:szCs w:val="24"/>
              </w:rPr>
              <w:t>funkcionalumų</w:t>
            </w:r>
            <w:proofErr w:type="spellEnd"/>
            <w:r>
              <w:rPr>
                <w:rFonts w:ascii="Times New Roman" w:eastAsia="Times New Roman" w:hAnsi="Times New Roman" w:cs="Times New Roman"/>
                <w:sz w:val="24"/>
                <w:szCs w:val="24"/>
              </w:rPr>
              <w:t xml:space="preserve">, kurie yra licencijuojami per prenumeratą (pvz. </w:t>
            </w:r>
            <w:proofErr w:type="spellStart"/>
            <w:r>
              <w:rPr>
                <w:rFonts w:ascii="Times New Roman" w:eastAsia="Times New Roman" w:hAnsi="Times New Roman" w:cs="Times New Roman"/>
                <w:sz w:val="24"/>
                <w:szCs w:val="24"/>
              </w:rPr>
              <w:t>debesijos</w:t>
            </w:r>
            <w:proofErr w:type="spellEnd"/>
            <w:r>
              <w:rPr>
                <w:rFonts w:ascii="Times New Roman" w:eastAsia="Times New Roman" w:hAnsi="Times New Roman" w:cs="Times New Roman"/>
                <w:sz w:val="24"/>
                <w:szCs w:val="24"/>
              </w:rPr>
              <w:t xml:space="preserve"> paslaugos, kuriose mokama už veikimą ar saugumą). Po palaikymo laikotarpio pabaigos, visa sukurta ir įdiegta Sistema turi galėti veikti savarankiškai.</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B21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Sistemos architektūrą, kuri veiktų savarankiškai bet kurioje infrastruktūroje, palaikančioje </w:t>
            </w:r>
            <w:proofErr w:type="spellStart"/>
            <w:r>
              <w:rPr>
                <w:rFonts w:ascii="Times New Roman" w:eastAsia="Times New Roman" w:hAnsi="Times New Roman" w:cs="Times New Roman"/>
                <w:sz w:val="24"/>
                <w:szCs w:val="24"/>
              </w:rPr>
              <w:t>konteinerizuotą</w:t>
            </w:r>
            <w:proofErr w:type="spellEnd"/>
            <w:r>
              <w:rPr>
                <w:rFonts w:ascii="Times New Roman" w:eastAsia="Times New Roman" w:hAnsi="Times New Roman" w:cs="Times New Roman"/>
                <w:sz w:val="24"/>
                <w:szCs w:val="24"/>
              </w:rPr>
              <w:t xml:space="preserve"> diegimą (pvz., </w:t>
            </w:r>
            <w:proofErr w:type="spellStart"/>
            <w:r>
              <w:rPr>
                <w:rFonts w:ascii="Times New Roman" w:eastAsia="Times New Roman" w:hAnsi="Times New Roman" w:cs="Times New Roman"/>
                <w:sz w:val="24"/>
                <w:szCs w:val="24"/>
              </w:rPr>
              <w:t>Docker</w:t>
            </w:r>
            <w:proofErr w:type="spellEnd"/>
            <w:r>
              <w:rPr>
                <w:rFonts w:ascii="Times New Roman" w:eastAsia="Times New Roman" w:hAnsi="Times New Roman" w:cs="Times New Roman"/>
                <w:sz w:val="24"/>
                <w:szCs w:val="24"/>
              </w:rPr>
              <w:t>), ir neturėtų jokių technologinių priklausomybių, reikalaujančių papildomų mokesčių licencijoms iš trečiųjų šalių paslaugų teikėjų.</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B22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 Sistemos </w:t>
            </w:r>
            <w:proofErr w:type="spellStart"/>
            <w:r>
              <w:rPr>
                <w:rFonts w:ascii="Times New Roman" w:eastAsia="Times New Roman" w:hAnsi="Times New Roman" w:cs="Times New Roman"/>
                <w:sz w:val="24"/>
                <w:szCs w:val="24"/>
              </w:rPr>
              <w:t>funkcionalumai</w:t>
            </w:r>
            <w:proofErr w:type="spellEnd"/>
            <w:r>
              <w:rPr>
                <w:rFonts w:ascii="Times New Roman" w:eastAsia="Times New Roman" w:hAnsi="Times New Roman" w:cs="Times New Roman"/>
                <w:sz w:val="24"/>
                <w:szCs w:val="24"/>
              </w:rPr>
              <w:t>, reikalingi sėkmingam Sistemos veikimui, būtų pasiekiami be papildomų komercinių prenumeratų.</w:t>
            </w:r>
          </w:p>
        </w:tc>
      </w:tr>
      <w:tr w:rsidR="00D129BC" w:rsidTr="005F69A5">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B23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turi turėti galimybę būti diegiama ir eksploatuojama Perkančiosios organizacijos pasirinktoje infrastruktūroje – vietiniame serveryje arba bet kuriame </w:t>
            </w:r>
            <w:proofErr w:type="spellStart"/>
            <w:r>
              <w:rPr>
                <w:rFonts w:ascii="Times New Roman" w:eastAsia="Times New Roman" w:hAnsi="Times New Roman" w:cs="Times New Roman"/>
                <w:sz w:val="24"/>
                <w:szCs w:val="24"/>
              </w:rPr>
              <w:t>debesijos</w:t>
            </w:r>
            <w:proofErr w:type="spellEnd"/>
            <w:r>
              <w:rPr>
                <w:rFonts w:ascii="Times New Roman" w:eastAsia="Times New Roman" w:hAnsi="Times New Roman" w:cs="Times New Roman"/>
                <w:sz w:val="24"/>
                <w:szCs w:val="24"/>
              </w:rPr>
              <w:t xml:space="preserve"> paslaugų teikėjo sprendime, kuriame palaikomas konteinerių vykdymas. </w:t>
            </w:r>
          </w:p>
        </w:tc>
      </w:tr>
    </w:tbl>
    <w:p w:rsidR="00D129BC" w:rsidRDefault="00D129BC" w:rsidP="00D129BC">
      <w:pPr>
        <w:ind w:left="992"/>
        <w:rPr>
          <w:rFonts w:ascii="Verdana" w:eastAsia="Verdana" w:hAnsi="Verdana" w:cs="Verdana"/>
          <w:sz w:val="20"/>
          <w:szCs w:val="20"/>
        </w:rPr>
      </w:pPr>
    </w:p>
    <w:p w:rsidR="00D129BC" w:rsidRDefault="00D129BC" w:rsidP="00D129BC">
      <w:pPr>
        <w:pStyle w:val="Heading3"/>
        <w:numPr>
          <w:ilvl w:val="1"/>
          <w:numId w:val="4"/>
        </w:numPr>
      </w:pPr>
      <w:bookmarkStart w:id="12" w:name="_Toc213327621"/>
      <w:r>
        <w:t>Administravimo reikalavimai</w:t>
      </w:r>
      <w:bookmarkEnd w:id="12"/>
    </w:p>
    <w:tbl>
      <w:tblPr>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D129BC" w:rsidTr="005F69A5">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left="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firstLine="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Reikalavimas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Sistemoje turi būti galimybė administratoriui kurti / trinti / keisti vartotojus ir jų informaciją ir kurti / trinti / keisti vartotojų grupes bei priskirti vartotojus į grupes.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Sistemos administravimo modulyje turi būti sudaryta galimybė administratoriui riboti kitų vartotojų prieigą prie Sistemos modulių ir suteikti modulių informacijos administravimo teises atskiroms vartotojų grupėms. Vartotojų grupėms gali būti suteikiamos teisės matyti, keisti, trinti moduliuose esančią informaciją. </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Sistemos administravimo modulyje turi būti sudaryta galimybė administratoriui riboti kitų vartotojų prieigą prie Sistemos modulių blokų ir suteikti modulių blokų informacijos administravimo teises atskiroms vartotojų grupėms. Vartotojų grupėms gali būti suteikiamos teisės matyti, keisti, trinti modulių blokuose esančią informaciją. </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Sistemoje turi būti galimybė gauti statistinę informaciją apie vartotojų darbą su Sistema - vartotojų paskutinius </w:t>
            </w:r>
            <w:proofErr w:type="spellStart"/>
            <w:r>
              <w:rPr>
                <w:rFonts w:ascii="Times New Roman" w:eastAsia="Times New Roman" w:hAnsi="Times New Roman" w:cs="Times New Roman"/>
                <w:sz w:val="24"/>
                <w:szCs w:val="24"/>
              </w:rPr>
              <w:t>prisijungimus</w:t>
            </w:r>
            <w:proofErr w:type="spellEnd"/>
            <w:r>
              <w:rPr>
                <w:rFonts w:ascii="Times New Roman" w:eastAsia="Times New Roman" w:hAnsi="Times New Roman" w:cs="Times New Roman"/>
                <w:sz w:val="24"/>
                <w:szCs w:val="24"/>
              </w:rPr>
              <w:t xml:space="preserve"> ir veiksmus.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Sistemos administratorius turi turėti galimybę padaryti sistemos vartotoją neaktyvų, taip pat pakeisti jo slaptažodį.</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Visos modulių kortelėse esančios pasirinkimo reikšmės (pasirinkti vieną iš kelių ar kelis iš kelių) turi turėti galimybę būti valdomos administratoriaus, pvz. inventoriaus statusas, veiksmo tipas ir pan.</w:t>
            </w:r>
          </w:p>
        </w:tc>
      </w:tr>
    </w:tbl>
    <w:p w:rsidR="00D129BC" w:rsidRDefault="00D129BC" w:rsidP="00D129BC">
      <w:pPr>
        <w:ind w:left="992"/>
        <w:rPr>
          <w:rFonts w:ascii="Verdana" w:eastAsia="Verdana" w:hAnsi="Verdana" w:cs="Verdana"/>
          <w:sz w:val="20"/>
          <w:szCs w:val="20"/>
        </w:rPr>
      </w:pPr>
    </w:p>
    <w:p w:rsidR="00D129BC" w:rsidRDefault="00D129BC" w:rsidP="00D129BC">
      <w:pPr>
        <w:pStyle w:val="Heading3"/>
        <w:numPr>
          <w:ilvl w:val="1"/>
          <w:numId w:val="4"/>
        </w:numPr>
      </w:pPr>
      <w:bookmarkStart w:id="13" w:name="_Toc213327622"/>
      <w:r>
        <w:t>Funkciniai reikalavimai</w:t>
      </w:r>
      <w:bookmarkEnd w:id="13"/>
    </w:p>
    <w:tbl>
      <w:tblPr>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D129BC" w:rsidTr="005F69A5">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left="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firstLine="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Reikalavimas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būti skirta Kalvarijos gimnazijos mokinių pasiekimų ir elgesio gerinimo procesų skaitmenizavimui bei susijusiems procesams valdyti</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Prisijungimas prie Sistemos turi būti apsaugotas unikaliu vartotojo vardu ir slaptažodžiu, taip pat įdiegtas Perkančiojoje organizacijoje naudojamas Microsoft </w:t>
            </w:r>
            <w:proofErr w:type="spellStart"/>
            <w:r>
              <w:rPr>
                <w:rFonts w:ascii="Times New Roman" w:eastAsia="Times New Roman" w:hAnsi="Times New Roman" w:cs="Times New Roman"/>
                <w:sz w:val="24"/>
                <w:szCs w:val="24"/>
              </w:rPr>
              <w:t>Azure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Directory</w:t>
            </w:r>
            <w:proofErr w:type="spellEnd"/>
            <w:r>
              <w:rPr>
                <w:rFonts w:ascii="Times New Roman" w:eastAsia="Times New Roman" w:hAnsi="Times New Roman" w:cs="Times New Roman"/>
                <w:sz w:val="24"/>
                <w:szCs w:val="24"/>
              </w:rPr>
              <w:t xml:space="preserve"> ar kitose lygiavertėse sistemose centralizuotam vartotojų valdymui.</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Vartotojai turi turėti galimybę matyti ir valdyti sistemoje esančią informaciją tik prisijungę su savo unikaliu vartotojo vardu ir slaptažodžiu arba per Microsoft </w:t>
            </w:r>
            <w:proofErr w:type="spellStart"/>
            <w:r>
              <w:rPr>
                <w:rFonts w:ascii="Times New Roman" w:eastAsia="Times New Roman" w:hAnsi="Times New Roman" w:cs="Times New Roman"/>
                <w:sz w:val="24"/>
                <w:szCs w:val="24"/>
              </w:rPr>
              <w:t>Azure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Directory</w:t>
            </w:r>
            <w:proofErr w:type="spellEnd"/>
            <w:r>
              <w:rPr>
                <w:rFonts w:ascii="Times New Roman" w:eastAsia="Times New Roman" w:hAnsi="Times New Roman" w:cs="Times New Roman"/>
                <w:sz w:val="24"/>
                <w:szCs w:val="24"/>
              </w:rPr>
              <w:t xml:space="preserve"> ir pagal jiems suteiktas vartotojo teises.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Leidimais pagrįstas vartotojo vaidmuo Sistemoje (moduliai, blokai) - peržiūra / redagavimas / ištrynimas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kiekviename savo modulyje turi turėti realaus laiko vieno laukelio tekstinę paiešką pagal bet kokią tame modulyje saugomą informaciją. Paieška turi vykti realiu laiku, </w:t>
            </w:r>
            <w:proofErr w:type="spellStart"/>
            <w:r>
              <w:rPr>
                <w:rFonts w:ascii="Times New Roman" w:eastAsia="Times New Roman" w:hAnsi="Times New Roman" w:cs="Times New Roman"/>
                <w:sz w:val="24"/>
                <w:szCs w:val="24"/>
              </w:rPr>
              <w:t>t.y</w:t>
            </w:r>
            <w:proofErr w:type="spellEnd"/>
            <w:r>
              <w:rPr>
                <w:rFonts w:ascii="Times New Roman" w:eastAsia="Times New Roman" w:hAnsi="Times New Roman" w:cs="Times New Roman"/>
                <w:sz w:val="24"/>
                <w:szCs w:val="24"/>
              </w:rPr>
              <w:t>. automatiškai reaguoti į kiekvieną paieškos laukelyje vedamą simbolį, taip siaurindama paieškos lauką.</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Kiekviename Sistemos modulyje turi būti galimybė eksportuoti duomenis populiariais duomenų saugojimo formatais (pvz. .</w:t>
            </w:r>
            <w:proofErr w:type="spellStart"/>
            <w:r>
              <w:rPr>
                <w:rFonts w:ascii="Times New Roman" w:eastAsia="Times New Roman" w:hAnsi="Times New Roman" w:cs="Times New Roman"/>
                <w:sz w:val="24"/>
                <w:szCs w:val="24"/>
              </w:rPr>
              <w:t>xlsx</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csv</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dbf</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txt</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html</w:t>
            </w:r>
            <w:proofErr w:type="spellEnd"/>
            <w:r>
              <w:rPr>
                <w:rFonts w:ascii="Times New Roman" w:eastAsia="Times New Roman" w:hAnsi="Times New Roman" w:cs="Times New Roman"/>
                <w:sz w:val="24"/>
                <w:szCs w:val="24"/>
              </w:rPr>
              <w:t>).</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Kiekvienas vartotojas turi turėti galimybę susidėti asmeninius filtrų rinkinius kiekviename Sistemos modulyje, filtrai gali būti pasirenkami iš bet kokių modulio kortelėje esančių laukų, turinčių pasirinkimo galimybes iš baigtinių duomenų sąrašų.</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duomenų įvedimas ir valdymas, neleidimas sukurti dublikato pagal unikalų identifikatorių, pvz. mokinio registracijos numerį.</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Pagrindiniai duomenys apie mokinį </w:t>
            </w:r>
            <w:r w:rsidRPr="00A90AC3">
              <w:rPr>
                <w:rFonts w:ascii="Times New Roman" w:eastAsia="Times New Roman" w:hAnsi="Times New Roman" w:cs="Times New Roman"/>
                <w:sz w:val="24"/>
                <w:szCs w:val="24"/>
              </w:rPr>
              <w:t>turi</w:t>
            </w:r>
            <w:r>
              <w:rPr>
                <w:rFonts w:ascii="Times New Roman" w:eastAsia="Times New Roman" w:hAnsi="Times New Roman" w:cs="Times New Roman"/>
                <w:sz w:val="24"/>
                <w:szCs w:val="24"/>
              </w:rPr>
              <w:t xml:space="preserve"> būti užpildomi automatizuotu būdu - pasinaudojant duomenimis iš trečiųjų šalių sistemų. Užpildytus duomenis turi būti galimybė koreguoti pagal vartotojų teises.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Atsakingų asmenų pagalbos mokiniui modulių kortelėse įvedimas ir </w:t>
            </w:r>
            <w:proofErr w:type="spellStart"/>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valdymas. Kiekviena kortelė gali turėti neribotą kiekį atsakingų asmenų. Prieigos prie duomenų ribojimas pagal atsakingus asmenis.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Nelaimingų atsitikimų su mokiniais fiksavimas ir analizė.</w:t>
            </w:r>
          </w:p>
          <w:p w:rsidR="00D129BC" w:rsidRDefault="00D129BC" w:rsidP="005F69A5">
            <w:pPr>
              <w:ind w:left="141"/>
              <w:jc w:val="both"/>
              <w:rPr>
                <w:rFonts w:ascii="Times New Roman" w:eastAsia="Times New Roman" w:hAnsi="Times New Roman" w:cs="Times New Roman"/>
                <w:sz w:val="24"/>
                <w:szCs w:val="24"/>
                <w:shd w:val="clear" w:color="auto" w:fill="FFE599"/>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Paslaugų teikėjas privalo sukurti, įdiegti ir užtikrinti veikiančią sistemos funkciją, skirtą nelaimingų atsitikimų, įvykusių su mokiniais, fiksavimui, analizei ir sprendimų valdymui.</w:t>
            </w:r>
          </w:p>
          <w:p w:rsidR="00D129BC" w:rsidRPr="00A90AC3" w:rsidRDefault="00D129BC" w:rsidP="005F69A5">
            <w:pPr>
              <w:ind w:left="141"/>
              <w:jc w:val="both"/>
              <w:rPr>
                <w:rFonts w:ascii="Times New Roman" w:eastAsia="Times New Roman" w:hAnsi="Times New Roman" w:cs="Times New Roman"/>
                <w:sz w:val="24"/>
                <w:szCs w:val="24"/>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Funkcija turi apimti visą procesą nuo įvykio registravimo iki sprendimo, užtikrinant duomenų tikslumą, atsekamumą ir atitikimą teisės aktų reikalavimams.</w:t>
            </w:r>
          </w:p>
          <w:p w:rsidR="00D129BC" w:rsidRPr="00A90AC3" w:rsidRDefault="00D129BC" w:rsidP="005F69A5">
            <w:pPr>
              <w:ind w:left="141"/>
              <w:jc w:val="both"/>
              <w:rPr>
                <w:rFonts w:ascii="Times New Roman" w:eastAsia="Times New Roman" w:hAnsi="Times New Roman" w:cs="Times New Roman"/>
                <w:sz w:val="24"/>
                <w:szCs w:val="24"/>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Sistemos funkcionalumas turi apimti:</w:t>
            </w:r>
          </w:p>
          <w:p w:rsidR="00D129BC" w:rsidRPr="00A90AC3" w:rsidRDefault="00D129BC" w:rsidP="005F69A5">
            <w:pPr>
              <w:numPr>
                <w:ilvl w:val="0"/>
                <w:numId w:val="2"/>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 xml:space="preserve">Įvykio registravimą: galimybę atsakingiems darbuotojams užregistruoti nelaimingą atsitikimą nurodant esminę informaciją - datą, laiką, vietą, dalyvius, aplinkybes, liudininkus, patirtus </w:t>
            </w:r>
            <w:proofErr w:type="spellStart"/>
            <w:r w:rsidRPr="00A90AC3">
              <w:rPr>
                <w:rFonts w:ascii="Times New Roman" w:eastAsia="Times New Roman" w:hAnsi="Times New Roman" w:cs="Times New Roman"/>
                <w:sz w:val="24"/>
                <w:szCs w:val="24"/>
              </w:rPr>
              <w:t>sužalojimus</w:t>
            </w:r>
            <w:proofErr w:type="spellEnd"/>
            <w:r w:rsidRPr="00A90AC3">
              <w:rPr>
                <w:rFonts w:ascii="Times New Roman" w:eastAsia="Times New Roman" w:hAnsi="Times New Roman" w:cs="Times New Roman"/>
                <w:sz w:val="24"/>
                <w:szCs w:val="24"/>
              </w:rPr>
              <w:t>, pirminę pagalbą ir kitą susijusią informaciją;</w:t>
            </w:r>
          </w:p>
          <w:p w:rsidR="00D129BC" w:rsidRPr="00A90AC3" w:rsidRDefault="00D129BC" w:rsidP="005F69A5">
            <w:pPr>
              <w:numPr>
                <w:ilvl w:val="0"/>
                <w:numId w:val="2"/>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Pranešimų ir dokumentacijos valdymą: galimybę generuoti reikiamus dokumentus ir pranešimus reikalingus atsakingoms institucijoms;</w:t>
            </w:r>
          </w:p>
          <w:p w:rsidR="00D129BC" w:rsidRPr="00A90AC3" w:rsidRDefault="00D129BC" w:rsidP="005F69A5">
            <w:pPr>
              <w:numPr>
                <w:ilvl w:val="0"/>
                <w:numId w:val="2"/>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Tyrimo ir sprendimų procesą: galimybę priskirti atsakingus asmenis ar komisiją, fiksuoti atliktus tyrimo veiksmus, išvadas, pasiūlymus dėl prevencijos ir atsakomybės priemonių;</w:t>
            </w:r>
          </w:p>
          <w:p w:rsidR="00D129BC" w:rsidRPr="00A90AC3" w:rsidRDefault="00D129BC" w:rsidP="005F69A5">
            <w:pPr>
              <w:numPr>
                <w:ilvl w:val="0"/>
                <w:numId w:val="2"/>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Pilną veiksmų istorijos sekimą: sistemoje turi būti matoma visa su konkrečiu nelaimingu atsitikimu susijusių veiksmų istorija - nuo įvykio registravimo iki sprendimo užbaigimo, įskaitant visus įrašus, pakeitimus, komentarus, atsakingus asmenis, datas ir atliktus veiksmus;</w:t>
            </w:r>
          </w:p>
          <w:p w:rsidR="00D129BC" w:rsidRPr="00A90AC3" w:rsidRDefault="00D129BC" w:rsidP="005F69A5">
            <w:pPr>
              <w:numPr>
                <w:ilvl w:val="0"/>
                <w:numId w:val="2"/>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Ataskaitų ir suvestinių generavimą: galimybę generuoti atsakingoms institucijoms reikalingas ataskaitas.</w:t>
            </w:r>
          </w:p>
          <w:p w:rsidR="00D129BC" w:rsidRDefault="00D129BC" w:rsidP="005F69A5">
            <w:pPr>
              <w:ind w:left="141"/>
              <w:jc w:val="both"/>
              <w:rPr>
                <w:rFonts w:ascii="Times New Roman" w:eastAsia="Times New Roman" w:hAnsi="Times New Roman" w:cs="Times New Roman"/>
                <w:sz w:val="24"/>
                <w:szCs w:val="24"/>
                <w:shd w:val="clear" w:color="auto" w:fill="FFE599"/>
              </w:rPr>
            </w:pPr>
          </w:p>
          <w:p w:rsidR="00D129BC" w:rsidRDefault="00D129BC" w:rsidP="005F69A5">
            <w:pPr>
              <w:ind w:left="141"/>
              <w:jc w:val="both"/>
              <w:rPr>
                <w:rFonts w:ascii="Times New Roman" w:eastAsia="Times New Roman" w:hAnsi="Times New Roman" w:cs="Times New Roman"/>
                <w:sz w:val="24"/>
                <w:szCs w:val="24"/>
                <w:shd w:val="clear" w:color="auto" w:fill="FFE599"/>
              </w:rPr>
            </w:pPr>
            <w:r w:rsidRPr="00A90AC3">
              <w:rPr>
                <w:rFonts w:ascii="Times New Roman" w:eastAsia="Times New Roman" w:hAnsi="Times New Roman" w:cs="Times New Roman"/>
                <w:sz w:val="24"/>
                <w:szCs w:val="24"/>
              </w:rPr>
              <w:t>Paslaugų teikėjas atsakingas už viso sprendimo įgyvendinimo ciklą - nuo funkcionalumo modelio ir duomenų struktūros kūrimo, naudotojo sąsajos (UI/UX) projektavimo, testavimo iki galutinio įdiegimo, integravimo į esamą sistemą bei naudotojų apmokymo.</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Netinkamo elgesio apraiškų fiksavimas, analizė ir sprendimo procesas.</w:t>
            </w:r>
          </w:p>
          <w:p w:rsidR="00D129BC" w:rsidRPr="00A90AC3" w:rsidRDefault="00D129BC" w:rsidP="005F69A5">
            <w:pPr>
              <w:ind w:left="141"/>
              <w:jc w:val="both"/>
              <w:rPr>
                <w:rFonts w:ascii="Times New Roman" w:eastAsia="Times New Roman" w:hAnsi="Times New Roman" w:cs="Times New Roman"/>
                <w:sz w:val="24"/>
                <w:szCs w:val="24"/>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Paslaugų teikėjas privalo sukurti, įdiegti ir užtikrinti veikiančią sistemos funkciją, skirtą netinkamo elgesio apraiškų (pvz., patyčių, smurto, netinkamos komunikacijos, kitų elgesio incidentų) fiksavimui, analizei ir sprendimo procesų valdymui. Ši funkcija turi apimti visą procesą nuo įvykio registravimo iki sprendimo įgyvendinimo ir užbaigimo, įskaitant:</w:t>
            </w:r>
          </w:p>
          <w:p w:rsidR="00D129BC" w:rsidRPr="00A90AC3" w:rsidRDefault="00D129BC" w:rsidP="005F69A5">
            <w:pPr>
              <w:numPr>
                <w:ilvl w:val="0"/>
                <w:numId w:val="5"/>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Įvykio registravimą: galimybę darbuotojams ar atsakingiems asmenims užregistruoti netinkamo elgesio apraišką nurodant pagrindinę informaciją (data, vieta, dalyviai, aprašymas, liudininkai ir kt.);</w:t>
            </w:r>
          </w:p>
          <w:p w:rsidR="00D129BC" w:rsidRPr="00A90AC3" w:rsidRDefault="00D129BC" w:rsidP="005F69A5">
            <w:pPr>
              <w:numPr>
                <w:ilvl w:val="0"/>
                <w:numId w:val="5"/>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Klasifikaciją ir priskyrimą: galimybę priskirti įvykį pagal tipą ir kitus klasifikatorius;</w:t>
            </w:r>
          </w:p>
          <w:p w:rsidR="00D129BC" w:rsidRPr="00A90AC3" w:rsidRDefault="00D129BC" w:rsidP="005F69A5">
            <w:pPr>
              <w:numPr>
                <w:ilvl w:val="0"/>
                <w:numId w:val="5"/>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Veiksmų planavimą ir įgyvendinimą: nustatyti, planuoti ir registruoti priimtus sprendimus bei veiksmus;</w:t>
            </w:r>
          </w:p>
          <w:p w:rsidR="00D129BC" w:rsidRPr="00A90AC3" w:rsidRDefault="00D129BC" w:rsidP="005F69A5">
            <w:pPr>
              <w:numPr>
                <w:ilvl w:val="0"/>
                <w:numId w:val="5"/>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Pilną veiksmų istorijos sekimą: sistemoje turi būti matoma visa veiksmų su konkrečia netinkamo elgesio apraiška istorija;</w:t>
            </w:r>
          </w:p>
          <w:p w:rsidR="00D129BC" w:rsidRDefault="00D129BC" w:rsidP="005F69A5">
            <w:pPr>
              <w:ind w:left="141"/>
              <w:jc w:val="both"/>
              <w:rPr>
                <w:rFonts w:ascii="Times New Roman" w:eastAsia="Times New Roman" w:hAnsi="Times New Roman" w:cs="Times New Roman"/>
                <w:sz w:val="24"/>
                <w:szCs w:val="24"/>
                <w:shd w:val="clear" w:color="auto" w:fill="FFE599"/>
              </w:rPr>
            </w:pPr>
            <w:r w:rsidRPr="00A90AC3">
              <w:rPr>
                <w:rFonts w:ascii="Times New Roman" w:eastAsia="Times New Roman" w:hAnsi="Times New Roman" w:cs="Times New Roman"/>
                <w:sz w:val="24"/>
                <w:szCs w:val="24"/>
              </w:rPr>
              <w:t>Paslaugų teikėjas atsakingas už viso sprendimo ciklo įgyvendinimą - nuo funkcionalumo modelio ir duomenų struktūros sukūrimo, naudotojo sąsajos (UI/UX) projektavimo, testavimo iki galutinio įdiegimo, integravimo į esamą sistemą ir vartotojų apmokymo.</w:t>
            </w:r>
          </w:p>
        </w:tc>
      </w:tr>
      <w:tr w:rsidR="00D129BC" w:rsidTr="005F69A5">
        <w:trPr>
          <w:trHeight w:val="7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Sistemoje turi būti galimybė matyti kiek su kokiu mokiniu veiksmų yra atlikta.</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Sistemoje kiekvienas vartotojas turi turėti galimybę žymėti mokinius ir žymėmis (</w:t>
            </w:r>
            <w:proofErr w:type="spellStart"/>
            <w:r>
              <w:rPr>
                <w:rFonts w:ascii="Times New Roman" w:eastAsia="Times New Roman" w:hAnsi="Times New Roman" w:cs="Times New Roman"/>
                <w:sz w:val="24"/>
                <w:szCs w:val="24"/>
              </w:rPr>
              <w:t>tag</w:t>
            </w:r>
            <w:proofErr w:type="spellEnd"/>
            <w:r>
              <w:rPr>
                <w:rFonts w:ascii="Times New Roman" w:eastAsia="Times New Roman" w:hAnsi="Times New Roman" w:cs="Times New Roman"/>
                <w:sz w:val="24"/>
                <w:szCs w:val="24"/>
              </w:rPr>
              <w:t>). Pagal žymes mokiniai gali būti filtruojami atitinkamuose moduliuose.</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Vaiko gerovės komisijos darbo procesų skaitmenizavimas</w:t>
            </w:r>
          </w:p>
          <w:p w:rsidR="00D129BC" w:rsidRPr="00A90AC3" w:rsidRDefault="00D129BC" w:rsidP="005F69A5">
            <w:pPr>
              <w:ind w:left="141"/>
              <w:jc w:val="both"/>
              <w:rPr>
                <w:rFonts w:ascii="Times New Roman" w:eastAsia="Times New Roman" w:hAnsi="Times New Roman" w:cs="Times New Roman"/>
                <w:sz w:val="24"/>
                <w:szCs w:val="24"/>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Paslaugų teikėjas privalo sukurti, įdiegti ir užtikrinti veikiančią sistemos funkciją, skirtą Vaiko gerovės komisijos darbo procesų skaitmenizavimui, užtikrinant visų komisijos veiklos etapų ir dokumentų valdymą skaitmeninėje aplinkoje.</w:t>
            </w:r>
          </w:p>
          <w:p w:rsidR="00D129BC" w:rsidRPr="00A90AC3" w:rsidRDefault="00D129BC" w:rsidP="005F69A5">
            <w:pPr>
              <w:ind w:left="141"/>
              <w:jc w:val="both"/>
              <w:rPr>
                <w:rFonts w:ascii="Times New Roman" w:eastAsia="Times New Roman" w:hAnsi="Times New Roman" w:cs="Times New Roman"/>
                <w:sz w:val="24"/>
                <w:szCs w:val="24"/>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Funkcionalumas turi apimti:</w:t>
            </w:r>
          </w:p>
          <w:p w:rsidR="00D129BC" w:rsidRPr="00A90AC3" w:rsidRDefault="00D129BC" w:rsidP="00A90AC3">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Komisijos sudėties ir posėdžių valdymą: galimybę registruoti komisijos narius, jų pareigas ir fiksuoti posėdžius (įskaitant datos, vietos, darbotvarkės, atsakingų asmenų nurodymą);</w:t>
            </w:r>
          </w:p>
          <w:p w:rsidR="00D129BC" w:rsidRPr="00A90AC3" w:rsidRDefault="00D129BC" w:rsidP="00A90AC3">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Skaitmeninius komisijos darbo protokolus: galimybę rengti, pildyti, tvirtinti ir saugoti komisijos posėdžių protokolus sistemoje, užtikrinant prieigą tik autorizuotiems naudotojams;</w:t>
            </w:r>
          </w:p>
          <w:p w:rsidR="00D129BC" w:rsidRPr="00A90AC3" w:rsidRDefault="00D129BC" w:rsidP="00A90AC3">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Tėvų ir atstovų apsilankymų registrą: galimybę fiksuoti tėvų ar teisėtų atstovų dalyvavimą posėdžiuose, susitikimuose ar konsultacijose, įrašant datą, laiką, dalyvius, aptartas temas ir sprendimus;</w:t>
            </w:r>
          </w:p>
          <w:p w:rsidR="00D129BC" w:rsidRPr="00A90AC3" w:rsidRDefault="00D129BC" w:rsidP="00A90AC3">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Pilną procesų istorijos sekimą: sistemoje turi būti matoma visa komisijos veiksmų istorija.</w:t>
            </w:r>
          </w:p>
          <w:p w:rsidR="00D129BC" w:rsidRPr="00A90AC3" w:rsidRDefault="00D129BC" w:rsidP="005F69A5">
            <w:pPr>
              <w:ind w:left="141"/>
              <w:jc w:val="both"/>
              <w:rPr>
                <w:rFonts w:ascii="Times New Roman" w:eastAsia="Times New Roman" w:hAnsi="Times New Roman" w:cs="Times New Roman"/>
                <w:sz w:val="24"/>
                <w:szCs w:val="24"/>
              </w:rPr>
            </w:pPr>
          </w:p>
          <w:p w:rsidR="00D129BC"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Paslaugų teikėjas atsakingas už viso sprendimo ciklo įgyvendinimą – nuo funkcionalumo modelio, duomenų struktūros ir naudotojo sąsajos (UI/UX) projektavimo iki testavimo, galutinio įdiegimo, integravimo į esamą sistemą ir naudotojų apmokymo.</w:t>
            </w:r>
            <w:r>
              <w:rPr>
                <w:rFonts w:ascii="Times New Roman" w:eastAsia="Times New Roman" w:hAnsi="Times New Roman" w:cs="Times New Roman"/>
                <w:sz w:val="24"/>
                <w:szCs w:val="24"/>
              </w:rPr>
              <w:t xml:space="preserve"> </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Trišalių pokalbių fiksavimas, susitarimų sudarymas, analizė ir vykdymo kontrolė.</w:t>
            </w:r>
          </w:p>
          <w:p w:rsidR="00D129BC" w:rsidRPr="00A90AC3" w:rsidRDefault="00D129BC" w:rsidP="005F69A5">
            <w:pPr>
              <w:ind w:left="141"/>
              <w:jc w:val="both"/>
              <w:rPr>
                <w:rFonts w:ascii="Times New Roman" w:eastAsia="Times New Roman" w:hAnsi="Times New Roman" w:cs="Times New Roman"/>
                <w:sz w:val="24"/>
                <w:szCs w:val="24"/>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Paslaugų teikėjas privalo sukurti, įdiegti ir užtikrinti veikiančią sistemos funkciją, skirtą trišalių pokalbių (tarp mokinio, tėvų ir mokytojo ar kitų atsakingų asmenų) fiksavimui, susitarimų dokumentavimui, analizei ir vykdymo kontrolei.</w:t>
            </w: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Šios funkcijos tikslas - užtikrinti skaidrų, struktūruotą ir atsekamą trišalių pokalbių procesą, prisidedantį prie mokinio pažangos ir gerovės stebėsenos.</w:t>
            </w:r>
          </w:p>
          <w:p w:rsidR="00D129BC" w:rsidRPr="00A90AC3" w:rsidRDefault="00D129BC" w:rsidP="005F69A5">
            <w:pPr>
              <w:ind w:left="141"/>
              <w:jc w:val="both"/>
              <w:rPr>
                <w:rFonts w:ascii="Times New Roman" w:eastAsia="Times New Roman" w:hAnsi="Times New Roman" w:cs="Times New Roman"/>
                <w:sz w:val="24"/>
                <w:szCs w:val="24"/>
              </w:rPr>
            </w:pPr>
          </w:p>
          <w:p w:rsidR="00D129BC" w:rsidRPr="00A90AC3" w:rsidRDefault="00D129BC" w:rsidP="005F69A5">
            <w:pPr>
              <w:ind w:left="141"/>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Funkcionalumas turi apimti:</w:t>
            </w:r>
          </w:p>
          <w:p w:rsidR="00D129BC" w:rsidRDefault="00D129BC" w:rsidP="005F69A5">
            <w:pPr>
              <w:numPr>
                <w:ilvl w:val="0"/>
                <w:numId w:val="3"/>
              </w:numPr>
              <w:jc w:val="both"/>
              <w:rPr>
                <w:rFonts w:ascii="Times New Roman" w:eastAsia="Times New Roman" w:hAnsi="Times New Roman" w:cs="Times New Roman"/>
                <w:sz w:val="24"/>
                <w:szCs w:val="24"/>
                <w:shd w:val="clear" w:color="auto" w:fill="FFE599"/>
              </w:rPr>
            </w:pPr>
            <w:r w:rsidRPr="00A90AC3">
              <w:rPr>
                <w:rFonts w:ascii="Times New Roman" w:eastAsia="Times New Roman" w:hAnsi="Times New Roman" w:cs="Times New Roman"/>
                <w:sz w:val="24"/>
                <w:szCs w:val="24"/>
              </w:rPr>
              <w:t>Pokalbio registravimą: galimybę inicijuoti trišalį pokalbį, nustatyti datą, laiką, vietą, dalyvius, temą ir tikslą, informuoti dalyvius per sistemą;</w:t>
            </w:r>
          </w:p>
          <w:p w:rsidR="00D129BC" w:rsidRPr="00A90AC3" w:rsidRDefault="00D129BC" w:rsidP="005F69A5">
            <w:pPr>
              <w:numPr>
                <w:ilvl w:val="0"/>
                <w:numId w:val="3"/>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Pokalbio eigos fiksavimą: galimybę užregistruoti pokalbio turinį – aptartas temas, pastebėjimus, pasiūlymus, identifikuotas problemas ir rekomenduotus veiksmus;</w:t>
            </w:r>
          </w:p>
          <w:p w:rsidR="00D129BC" w:rsidRPr="00A90AC3" w:rsidRDefault="00D129BC" w:rsidP="005F69A5">
            <w:pPr>
              <w:numPr>
                <w:ilvl w:val="0"/>
                <w:numId w:val="3"/>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Susitarimų sudarymą: galimybę formuoti trišalio pokalbio metu pasiektus susitarimus, nurodyti atsakingus asmenis, vykdymo terminus ir numatytas priemones;</w:t>
            </w:r>
          </w:p>
          <w:p w:rsidR="00D129BC" w:rsidRPr="00A90AC3" w:rsidRDefault="00D129BC" w:rsidP="005F69A5">
            <w:pPr>
              <w:numPr>
                <w:ilvl w:val="0"/>
                <w:numId w:val="3"/>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Vykdymo kontrolę: galimybę sekti susitarimų įgyvendinimo eigą, žymėti atliktus veiksmus, pateikti pastabas ar įkelti papildomą informaciją;</w:t>
            </w:r>
          </w:p>
          <w:p w:rsidR="00D129BC" w:rsidRPr="00A90AC3" w:rsidRDefault="00D129BC" w:rsidP="005F69A5">
            <w:pPr>
              <w:numPr>
                <w:ilvl w:val="0"/>
                <w:numId w:val="3"/>
              </w:numPr>
              <w:jc w:val="both"/>
              <w:rPr>
                <w:rFonts w:ascii="Times New Roman" w:eastAsia="Times New Roman" w:hAnsi="Times New Roman" w:cs="Times New Roman"/>
                <w:sz w:val="24"/>
                <w:szCs w:val="24"/>
              </w:rPr>
            </w:pPr>
            <w:r w:rsidRPr="00A90AC3">
              <w:rPr>
                <w:rFonts w:ascii="Times New Roman" w:eastAsia="Times New Roman" w:hAnsi="Times New Roman" w:cs="Times New Roman"/>
                <w:sz w:val="24"/>
                <w:szCs w:val="24"/>
              </w:rPr>
              <w:t>Pilną procesų istorijos sekimą: sistemoje turi būti matoma visa trišalio pokalbio eiga ir su juo susijusių veiksmų istorija.</w:t>
            </w:r>
          </w:p>
          <w:p w:rsidR="00D129BC" w:rsidRPr="00A90AC3" w:rsidRDefault="00D129BC" w:rsidP="005F69A5">
            <w:pPr>
              <w:ind w:left="141"/>
              <w:jc w:val="both"/>
              <w:rPr>
                <w:rFonts w:ascii="Times New Roman" w:eastAsia="Times New Roman" w:hAnsi="Times New Roman" w:cs="Times New Roman"/>
                <w:sz w:val="24"/>
                <w:szCs w:val="24"/>
              </w:rPr>
            </w:pPr>
          </w:p>
          <w:p w:rsidR="00D129BC" w:rsidRDefault="00D129BC" w:rsidP="005F69A5">
            <w:pPr>
              <w:ind w:left="141"/>
              <w:jc w:val="both"/>
              <w:rPr>
                <w:rFonts w:ascii="Times New Roman" w:eastAsia="Times New Roman" w:hAnsi="Times New Roman" w:cs="Times New Roman"/>
                <w:sz w:val="24"/>
                <w:szCs w:val="24"/>
                <w:shd w:val="clear" w:color="auto" w:fill="FFE599"/>
              </w:rPr>
            </w:pPr>
            <w:r w:rsidRPr="00A90AC3">
              <w:rPr>
                <w:rFonts w:ascii="Times New Roman" w:eastAsia="Times New Roman" w:hAnsi="Times New Roman" w:cs="Times New Roman"/>
                <w:sz w:val="24"/>
                <w:szCs w:val="24"/>
              </w:rPr>
              <w:t>Paslaugų teikėjas atsakingas už viso sprendimo įgyvendinimo ciklą – nuo funkcionalumo modelio ir duomenų struktūros sukūrimo, naudotojo sąsajos (UI/UX) projektavimo, testavimo iki galutinio įdiegimo, integravimo į esamą sistemą ir naudotojų apmokymo.</w:t>
            </w:r>
            <w:r>
              <w:rPr>
                <w:rFonts w:ascii="Times New Roman" w:eastAsia="Times New Roman" w:hAnsi="Times New Roman" w:cs="Times New Roman"/>
                <w:sz w:val="24"/>
                <w:szCs w:val="24"/>
                <w:shd w:val="clear" w:color="auto" w:fill="FFE599"/>
              </w:rPr>
              <w:t xml:space="preserve"> </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shd w:val="clear" w:color="auto" w:fill="FFE599"/>
              </w:rPr>
            </w:pPr>
            <w:r>
              <w:rPr>
                <w:rFonts w:ascii="Times New Roman" w:eastAsia="Times New Roman" w:hAnsi="Times New Roman" w:cs="Times New Roman"/>
                <w:sz w:val="24"/>
                <w:szCs w:val="24"/>
              </w:rPr>
              <w:t xml:space="preserve">Pasinaudojant duomenimis iš trečiųjų šalių sistemų automatizuotas informacijos apie mokinio pažangą rinkimas ir analizė neeikvojant tiesioginių </w:t>
            </w:r>
            <w:r w:rsidRPr="00A90AC3">
              <w:rPr>
                <w:rFonts w:ascii="Times New Roman" w:hAnsi="Times New Roman" w:cs="Times New Roman"/>
                <w:sz w:val="24"/>
                <w:szCs w:val="24"/>
              </w:rPr>
              <w:t>mokytojų ir/ar administracijos resursų duomenų surinkimui ar rankiniam perkėlimui iš kitų sistemų.</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pažangos duomenų analizė, vertinimas ir probleminių sričių identifikavimas.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Rekomendacijos mokytojams ir/ar administracijai taikant tinkamas intervencijas ir individualizuotą pagalbą mokiniui, pasinaudojant mokinių pažangos duomenų analize.</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Verdana" w:eastAsia="Verdana" w:hAnsi="Verdana" w:cs="Verdana"/>
                <w:sz w:val="20"/>
                <w:szCs w:val="20"/>
              </w:rPr>
            </w:pPr>
            <w:r>
              <w:rPr>
                <w:rFonts w:ascii="Verdana" w:eastAsia="Verdana" w:hAnsi="Verdana" w:cs="Verdana"/>
                <w:sz w:val="20"/>
                <w:szCs w:val="20"/>
              </w:rPr>
              <w:t>F20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pažangos duomenų vizualizavimas, patogesniam informacijos pateikimui.</w:t>
            </w:r>
          </w:p>
        </w:tc>
      </w:tr>
      <w:tr w:rsidR="00D129BC" w:rsidTr="005F69A5">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Verdana" w:eastAsia="Verdana" w:hAnsi="Verdana" w:cs="Verdana"/>
                <w:sz w:val="20"/>
                <w:szCs w:val="20"/>
              </w:rPr>
            </w:pPr>
            <w:r>
              <w:rPr>
                <w:rFonts w:ascii="Verdana" w:eastAsia="Verdana" w:hAnsi="Verdana" w:cs="Verdana"/>
                <w:sz w:val="20"/>
                <w:szCs w:val="20"/>
              </w:rPr>
              <w:t>F21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pažangos vertinimo algoritmo sukūrimas. Paslaugų teikėjas turi savarankiškai, remdamasis tik savo </w:t>
            </w:r>
            <w:proofErr w:type="spellStart"/>
            <w:r>
              <w:rPr>
                <w:rFonts w:ascii="Times New Roman" w:eastAsia="Times New Roman" w:hAnsi="Times New Roman" w:cs="Times New Roman"/>
                <w:sz w:val="24"/>
                <w:szCs w:val="24"/>
              </w:rPr>
              <w:t>pajėgumais</w:t>
            </w:r>
            <w:proofErr w:type="spellEnd"/>
            <w:r>
              <w:rPr>
                <w:rFonts w:ascii="Times New Roman" w:eastAsia="Times New Roman" w:hAnsi="Times New Roman" w:cs="Times New Roman"/>
                <w:sz w:val="24"/>
                <w:szCs w:val="24"/>
              </w:rPr>
              <w:t xml:space="preserve"> (su minimaliomis Perkančiosios organizacijos konsultacijomis) sukurti veikiantį mokinių pažangos vertinimo </w:t>
            </w:r>
            <w:r w:rsidRPr="00A90AC3">
              <w:rPr>
                <w:rFonts w:ascii="Times New Roman" w:hAnsi="Times New Roman" w:cs="Times New Roman"/>
                <w:sz w:val="24"/>
                <w:szCs w:val="24"/>
              </w:rPr>
              <w:t>algoritmą (</w:t>
            </w:r>
            <w:proofErr w:type="spellStart"/>
            <w:r w:rsidRPr="00A90AC3">
              <w:rPr>
                <w:rFonts w:ascii="Times New Roman" w:hAnsi="Times New Roman" w:cs="Times New Roman"/>
                <w:sz w:val="24"/>
                <w:szCs w:val="24"/>
              </w:rPr>
              <w:t>edukologinį</w:t>
            </w:r>
            <w:proofErr w:type="spellEnd"/>
            <w:r w:rsidRPr="00A90AC3">
              <w:rPr>
                <w:rFonts w:ascii="Times New Roman" w:hAnsi="Times New Roman" w:cs="Times New Roman"/>
                <w:sz w:val="24"/>
                <w:szCs w:val="24"/>
              </w:rPr>
              <w:t xml:space="preserve"> modelį), kuris, remiantis surinktais duomenimis, atliktų analizę ir sugeneruotų rekomendacijas. Algoritmas turi turėti mokslinį pagrindimą, veikti aut</w:t>
            </w:r>
            <w:r>
              <w:rPr>
                <w:rFonts w:ascii="Times New Roman" w:eastAsia="Times New Roman" w:hAnsi="Times New Roman" w:cs="Times New Roman"/>
                <w:sz w:val="24"/>
                <w:szCs w:val="24"/>
              </w:rPr>
              <w:t>omatizuotai ir pilnai integruotai su likusia Sistema.</w:t>
            </w:r>
          </w:p>
        </w:tc>
      </w:tr>
      <w:tr w:rsidR="00D129BC" w:rsidTr="005F69A5">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Verdana" w:eastAsia="Verdana" w:hAnsi="Verdana" w:cs="Verdana"/>
                <w:sz w:val="20"/>
                <w:szCs w:val="20"/>
              </w:rPr>
            </w:pPr>
            <w:r>
              <w:rPr>
                <w:rFonts w:ascii="Verdana" w:eastAsia="Verdana" w:hAnsi="Verdana" w:cs="Verdana"/>
                <w:sz w:val="20"/>
                <w:szCs w:val="20"/>
              </w:rPr>
              <w:t>F22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Sukurtas mokinių pažangos vertinimo algoritmas turi būti patikrintas ir adaptuotas realiai švietimo įstaigų praktikai. Prieš galutinį diegimą gamybinėje aplinkoje, algoritmas turi būti ištestuotas su </w:t>
            </w:r>
            <w:proofErr w:type="spellStart"/>
            <w:r>
              <w:rPr>
                <w:rFonts w:ascii="Times New Roman" w:eastAsia="Times New Roman" w:hAnsi="Times New Roman" w:cs="Times New Roman"/>
                <w:sz w:val="24"/>
                <w:szCs w:val="24"/>
              </w:rPr>
              <w:t>testiniais</w:t>
            </w:r>
            <w:proofErr w:type="spellEnd"/>
            <w:r>
              <w:rPr>
                <w:rFonts w:ascii="Times New Roman" w:eastAsia="Times New Roman" w:hAnsi="Times New Roman" w:cs="Times New Roman"/>
                <w:sz w:val="24"/>
                <w:szCs w:val="24"/>
              </w:rPr>
              <w:t xml:space="preserve"> ar istoriniais duomenimis ir patobulintas remiantis analizės rezultatais. Testavimo rezultatai turi būti pateikti Perkančiajai organizacijai kaip atskira testavimo ataskaita.</w:t>
            </w:r>
          </w:p>
        </w:tc>
      </w:tr>
      <w:tr w:rsidR="00D129BC" w:rsidTr="005F69A5">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Verdana" w:eastAsia="Verdana" w:hAnsi="Verdana" w:cs="Verdana"/>
                <w:sz w:val="20"/>
                <w:szCs w:val="20"/>
              </w:rPr>
            </w:pPr>
            <w:r>
              <w:rPr>
                <w:rFonts w:ascii="Verdana" w:eastAsia="Verdana" w:hAnsi="Verdana" w:cs="Verdana"/>
                <w:sz w:val="20"/>
                <w:szCs w:val="20"/>
              </w:rPr>
              <w:t>F23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pažangos vertinimo algoritmo veikimo logika, įvestys, naudojami skaičiavimo kriterijai ir sprendimų priėmimo taisyklės turi būti dokumentuoti ir prieinami Perkančiajai organizacijai. Turi būti užtikrintas algoritmo sprendimų atsekamumas ir galimybė pagrįsti taikytas intervencijas.</w:t>
            </w:r>
          </w:p>
        </w:tc>
      </w:tr>
      <w:tr w:rsidR="00D129BC" w:rsidTr="005F69A5">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D129BC" w:rsidRDefault="00D129BC" w:rsidP="005F69A5">
            <w:pPr>
              <w:widowControl w:val="0"/>
              <w:jc w:val="center"/>
              <w:rPr>
                <w:rFonts w:ascii="Verdana" w:eastAsia="Verdana" w:hAnsi="Verdana" w:cs="Verdana"/>
                <w:sz w:val="20"/>
                <w:szCs w:val="20"/>
              </w:rPr>
            </w:pPr>
            <w:r>
              <w:rPr>
                <w:rFonts w:ascii="Verdana" w:eastAsia="Verdana" w:hAnsi="Verdana" w:cs="Verdana"/>
                <w:sz w:val="20"/>
                <w:szCs w:val="20"/>
              </w:rPr>
              <w:t>F24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Integracijų</w:t>
            </w:r>
            <w:proofErr w:type="spellEnd"/>
            <w:r>
              <w:rPr>
                <w:rFonts w:ascii="Times New Roman" w:eastAsia="Times New Roman" w:hAnsi="Times New Roman" w:cs="Times New Roman"/>
                <w:sz w:val="24"/>
                <w:szCs w:val="24"/>
              </w:rPr>
              <w:t xml:space="preserve"> įgyvendinimo apimtis. Paslaugų tiekėjas privalo įgyvendinti visus reikiamus integracijos veiksmus, įskaitant duomenų šaltinių analizę, </w:t>
            </w:r>
            <w:proofErr w:type="spellStart"/>
            <w:r>
              <w:rPr>
                <w:rFonts w:ascii="Times New Roman" w:eastAsia="Times New Roman" w:hAnsi="Times New Roman" w:cs="Times New Roman"/>
                <w:sz w:val="24"/>
                <w:szCs w:val="24"/>
              </w:rPr>
              <w:t>autentifikacijos</w:t>
            </w:r>
            <w:proofErr w:type="spellEnd"/>
            <w:r>
              <w:rPr>
                <w:rFonts w:ascii="Times New Roman" w:eastAsia="Times New Roman" w:hAnsi="Times New Roman" w:cs="Times New Roman"/>
                <w:sz w:val="24"/>
                <w:szCs w:val="24"/>
              </w:rPr>
              <w:t xml:space="preserve"> ir duomenų struktūrų suderinimą, </w:t>
            </w:r>
            <w:r w:rsidRPr="00A90AC3">
              <w:rPr>
                <w:rFonts w:ascii="Times New Roman" w:hAnsi="Times New Roman" w:cs="Times New Roman"/>
                <w:sz w:val="24"/>
                <w:szCs w:val="24"/>
              </w:rPr>
              <w:t>susitarimus su trečiosiomis šalimis dėl duomenų apsikeitimo,</w:t>
            </w:r>
            <w:r w:rsidRPr="00A90A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techninio sprendimo sukūrimą, testavimą su trečiosiomis šalimis ir pilną integracijos įgyvendinimą gamybinėje aplinkoje.</w:t>
            </w:r>
          </w:p>
        </w:tc>
      </w:tr>
    </w:tbl>
    <w:p w:rsidR="00D129BC" w:rsidRDefault="00D129BC" w:rsidP="00D129BC">
      <w:pPr>
        <w:rPr>
          <w:rFonts w:ascii="Verdana" w:eastAsia="Verdana" w:hAnsi="Verdana" w:cs="Verdana"/>
          <w:sz w:val="20"/>
          <w:szCs w:val="20"/>
        </w:rPr>
      </w:pPr>
    </w:p>
    <w:p w:rsidR="00D129BC" w:rsidRDefault="00D129BC" w:rsidP="00D129BC">
      <w:pPr>
        <w:pStyle w:val="Heading3"/>
        <w:numPr>
          <w:ilvl w:val="1"/>
          <w:numId w:val="4"/>
        </w:numPr>
      </w:pPr>
      <w:bookmarkStart w:id="14" w:name="_Toc213327623"/>
      <w:r>
        <w:t>Saugumo reikalavimai</w:t>
      </w:r>
      <w:bookmarkEnd w:id="14"/>
    </w:p>
    <w:tbl>
      <w:tblPr>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D129BC" w:rsidTr="005F69A5">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left="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firstLine="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Reikalavimas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teikėjas, pareikalavus Perkančiajai organizacijai, turi pateikti deklaraciją </w:t>
            </w:r>
            <w:r w:rsidRPr="00A90AC3">
              <w:rPr>
                <w:rFonts w:ascii="Times New Roman" w:hAnsi="Times New Roman" w:cs="Times New Roman"/>
                <w:sz w:val="24"/>
                <w:szCs w:val="24"/>
              </w:rPr>
              <w:t>ir išorinių vertintojų ataskaitą,</w:t>
            </w:r>
            <w:r>
              <w:rPr>
                <w:rFonts w:ascii="Times New Roman" w:eastAsia="Times New Roman" w:hAnsi="Times New Roman" w:cs="Times New Roman"/>
                <w:sz w:val="24"/>
                <w:szCs w:val="24"/>
              </w:rPr>
              <w:t xml:space="preserve"> kad Sistema buvo išbandyta išorinių vertintojų ir Sistema neturi kritinių saugumo pažeidžiamo ar kitų, su saugumu susijusių, defektų.</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turi būti saugi ir pasiekiama internetu, pagal Perkančiosios organizacijos pageidavimą gali būti ribojama prieiga prie Sistemos pagal IP adresus.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duomenys tarp vartotojo galinio įrenginio ir Sistemos, bei tarp Sistemos ir kitų trečiųjų šalių informacinių sistemų turi būti perduodami saugiu ryšiu.</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arba jos įgaliotiems asmenims atlikus Sistemos saugumo auditą ir aptikus kritinių saugumo spragų, Paslaugų teikėjas šias spragas turi ištaisyti neatlygintinai.</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perkančiosios organizacijos pageidavimą, Sistemoje turi būti galimybė įdiegti bendrą visoms organizacijoms slaptažodžių naudojimo politiką, jeigu tokia politika būtų patvirtinta.</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sutarties galiojimo laiku turi būti reguliariai atnaujinama – taisomos klaidos ir saugumo spragos, įgyvendinami kritiniai patobulinimai.</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S7</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turi užtikrinti, kad jo darbuotojai yra pasirašę ne mažesnės galios konfidencialių duomenų neatskleidimo sutartis nei yra numatyta sutartyje tarp perkančiosios organizacijos ir Paslaugų teikėjo.</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S8</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Vartotojo ID ir slaptažodžiai Sistemoje turi būti laikomi užšifruoti (</w:t>
            </w:r>
            <w:proofErr w:type="spellStart"/>
            <w:r>
              <w:rPr>
                <w:rFonts w:ascii="Times New Roman" w:eastAsia="Times New Roman" w:hAnsi="Times New Roman" w:cs="Times New Roman"/>
                <w:sz w:val="24"/>
                <w:szCs w:val="24"/>
              </w:rPr>
              <w:t>encrypted</w:t>
            </w:r>
            <w:proofErr w:type="spellEnd"/>
            <w:r>
              <w:rPr>
                <w:rFonts w:ascii="Times New Roman" w:eastAsia="Times New Roman" w:hAnsi="Times New Roman" w:cs="Times New Roman"/>
                <w:sz w:val="24"/>
                <w:szCs w:val="24"/>
              </w:rPr>
              <w:t>).</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S9</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administratoriui nustatyti teises atskiroms vartotojų grupėms nerodyti modulių arba kortelės blokų informacijos.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S10</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pagal poreikį turi turėti galimybę nustatyti automatinį vartotojo atsijungimą nuo Sistemos po tam tikro neveiksnumo Sistemoje laiko.</w:t>
            </w:r>
          </w:p>
        </w:tc>
      </w:tr>
    </w:tbl>
    <w:p w:rsidR="00D129BC" w:rsidRDefault="00D129BC" w:rsidP="00D129BC">
      <w:pPr>
        <w:ind w:left="992"/>
        <w:rPr>
          <w:rFonts w:ascii="Verdana" w:eastAsia="Verdana" w:hAnsi="Verdana" w:cs="Verdana"/>
          <w:sz w:val="20"/>
          <w:szCs w:val="20"/>
        </w:rPr>
      </w:pPr>
    </w:p>
    <w:p w:rsidR="00D129BC" w:rsidRDefault="00D129BC" w:rsidP="00D129BC">
      <w:pPr>
        <w:pStyle w:val="Heading3"/>
        <w:numPr>
          <w:ilvl w:val="1"/>
          <w:numId w:val="4"/>
        </w:numPr>
      </w:pPr>
      <w:bookmarkStart w:id="15" w:name="_Toc213327624"/>
      <w:r>
        <w:t>Palaikymo reikalavimai</w:t>
      </w:r>
      <w:bookmarkEnd w:id="15"/>
    </w:p>
    <w:tbl>
      <w:tblPr>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D129BC" w:rsidTr="005F69A5">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left="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firstLine="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Reikalavimas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turi suteikti 24 mėn. sistemos palaikymo (priežiūros) paslaugą, kurios metu turi šalinti visus Perkančiosios organizacijos pastebėtus trūkumus, taip pat pastebėtus neatitikimus funkcinių reikalavimų dokumentui. Palaikymo laikotarpio metu turi būti užtikrinamas sklandus Sistemos veikimas, taip pat užtikrinamas Sistemos saugumas.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teikėjas įsipareigoja teikti konsultacijas telefonu ir el. paštu visą projekto sutarties galiojimo laikotarpį. </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įsipareigoja suteikti prieigą prie Pagalbos programinės įrangos (</w:t>
            </w:r>
            <w:proofErr w:type="spellStart"/>
            <w:r>
              <w:rPr>
                <w:rFonts w:ascii="Times New Roman" w:eastAsia="Times New Roman" w:hAnsi="Times New Roman" w:cs="Times New Roman"/>
                <w:sz w:val="24"/>
                <w:szCs w:val="24"/>
              </w:rPr>
              <w:t>Helpdesk</w:t>
            </w:r>
            <w:proofErr w:type="spellEnd"/>
            <w:r>
              <w:rPr>
                <w:rFonts w:ascii="Times New Roman" w:eastAsia="Times New Roman" w:hAnsi="Times New Roman" w:cs="Times New Roman"/>
                <w:sz w:val="24"/>
                <w:szCs w:val="24"/>
              </w:rPr>
              <w:t xml:space="preserve">), kurioje 24/7 būtų galima registruoti gedimus, poreikius ir sekti jų sprendimo eigą. </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įsipareigoja laiku ir kokybiškai išspręsti iškilusias problemas, pagal atskirai susitartas aptarnavimo sąlygas ir reakcijos laikus.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Gyvas aptarnavimas turi būti vykdomas organizacijų darbo metu darbo dienomis nuo 8.00 val. iki 17.00 val. Lietuvos laiku.</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Matant poreikį ar pasikeitus situacijai Pateikti perkančiajai organizacijai rekomendacijas dėl Sistemos tobulinimo ar gerųjų praktikų taikymo galimybių.</w:t>
            </w:r>
          </w:p>
        </w:tc>
      </w:tr>
    </w:tbl>
    <w:p w:rsidR="00D129BC" w:rsidRDefault="00D129BC" w:rsidP="00D129BC">
      <w:pPr>
        <w:ind w:left="992"/>
        <w:rPr>
          <w:rFonts w:ascii="Verdana" w:eastAsia="Verdana" w:hAnsi="Verdana" w:cs="Verdana"/>
          <w:sz w:val="20"/>
          <w:szCs w:val="20"/>
        </w:rPr>
      </w:pPr>
    </w:p>
    <w:p w:rsidR="00D129BC" w:rsidRDefault="00D129BC" w:rsidP="00D129BC">
      <w:pPr>
        <w:pStyle w:val="Heading3"/>
        <w:numPr>
          <w:ilvl w:val="1"/>
          <w:numId w:val="4"/>
        </w:numPr>
      </w:pPr>
      <w:bookmarkStart w:id="16" w:name="_Toc213327625"/>
      <w:r>
        <w:t>Reikalavimai tolimesniam vystymui</w:t>
      </w:r>
      <w:bookmarkEnd w:id="16"/>
    </w:p>
    <w:p w:rsidR="00D129BC" w:rsidRDefault="00D129BC" w:rsidP="00D129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 turi būti pakankamai lanksti ir turėti galimybę prisitaikyti prie ateities poreikių, todėl paslaugų teikėjas turėtų gebėti nereikalaujant esminių sistemos pakeitimų ar perkūrimo, pagal atskirus susitarimus su perkančiąja organizacija, įgyvendinti šiuos ateities poreikius: </w:t>
      </w:r>
    </w:p>
    <w:tbl>
      <w:tblPr>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D129BC" w:rsidTr="005F69A5">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left="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rsidR="00D129BC" w:rsidRDefault="00D129BC" w:rsidP="005F69A5">
            <w:pPr>
              <w:ind w:firstLine="141"/>
              <w:jc w:val="center"/>
              <w:rPr>
                <w:rFonts w:ascii="Times New Roman" w:eastAsia="Times New Roman" w:hAnsi="Times New Roman" w:cs="Times New Roman"/>
                <w:b/>
                <w:color w:val="F3F3F3"/>
                <w:sz w:val="24"/>
                <w:szCs w:val="24"/>
              </w:rPr>
            </w:pPr>
            <w:r>
              <w:rPr>
                <w:rFonts w:ascii="Times New Roman" w:eastAsia="Times New Roman" w:hAnsi="Times New Roman" w:cs="Times New Roman"/>
                <w:b/>
                <w:color w:val="F3F3F3"/>
                <w:sz w:val="24"/>
                <w:szCs w:val="24"/>
              </w:rPr>
              <w:t>Reikalavimas</w:t>
            </w:r>
          </w:p>
        </w:tc>
      </w:tr>
      <w:tr w:rsidR="00D129BC" w:rsidTr="005F69A5">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Papildomų ataskaitų pridėjimas.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Naujų laukų modulių kortelėse pridėjimas / pašalinimas.</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integruoti su kitomis trečiųjų šalių informacinėmis sistemomis ir organizuoti duomenų apsikeitimą realiu laiku.</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pridėti naujų įrašų tipų ir sąsajų tarp modulių ar kortelių laukų.</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pridėti arba sukurti naujų modulių ir įgyvendinti sąsajas su esančiais Sistemoje.</w:t>
            </w:r>
          </w:p>
        </w:tc>
      </w:tr>
      <w:tr w:rsidR="00D129BC" w:rsidTr="005F69A5">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rsidR="00D129BC" w:rsidRDefault="00D129BC" w:rsidP="005F69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rsidR="00D129BC" w:rsidRDefault="00D129BC" w:rsidP="005F69A5">
            <w:pPr>
              <w:ind w:left="1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tobulinti mokinių pažangos vertinimo algoritmą.</w:t>
            </w:r>
          </w:p>
        </w:tc>
      </w:tr>
    </w:tbl>
    <w:p w:rsidR="00D129BC" w:rsidRDefault="00D129BC" w:rsidP="0098051A">
      <w:pPr>
        <w:keepNext/>
        <w:keepLines/>
        <w:pBdr>
          <w:top w:val="nil"/>
          <w:left w:val="nil"/>
          <w:bottom w:val="nil"/>
          <w:right w:val="nil"/>
          <w:between w:val="nil"/>
        </w:pBdr>
        <w:spacing w:before="400" w:after="120"/>
        <w:jc w:val="center"/>
        <w:rPr>
          <w:rFonts w:ascii="Verdana" w:eastAsia="Verdana" w:hAnsi="Verdana" w:cs="Verdana"/>
          <w:b/>
          <w:color w:val="353744"/>
          <w:sz w:val="20"/>
          <w:szCs w:val="20"/>
        </w:rPr>
      </w:pPr>
      <w:bookmarkStart w:id="17" w:name="_heading=h.rhmqyefvs2a8" w:colFirst="0" w:colLast="0"/>
      <w:bookmarkEnd w:id="17"/>
      <w:r>
        <w:rPr>
          <w:rFonts w:ascii="Verdana" w:eastAsia="Verdana" w:hAnsi="Verdana" w:cs="Verdana"/>
          <w:b/>
          <w:color w:val="353744"/>
          <w:sz w:val="20"/>
          <w:szCs w:val="20"/>
        </w:rPr>
        <w:t>___________________________________</w:t>
      </w:r>
    </w:p>
    <w:p w:rsidR="00723EF9" w:rsidRDefault="00723EF9"/>
    <w:sectPr w:rsidR="00723EF9">
      <w:headerReference w:type="default" r:id="rId7"/>
      <w:pgSz w:w="12240" w:h="15840"/>
      <w:pgMar w:top="720" w:right="616" w:bottom="72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E59" w:rsidRDefault="00177E59" w:rsidP="00C164B8">
      <w:pPr>
        <w:spacing w:line="240" w:lineRule="auto"/>
      </w:pPr>
      <w:r>
        <w:separator/>
      </w:r>
    </w:p>
  </w:endnote>
  <w:endnote w:type="continuationSeparator" w:id="0">
    <w:p w:rsidR="00177E59" w:rsidRDefault="00177E59" w:rsidP="00C16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E59" w:rsidRDefault="00177E59" w:rsidP="00C164B8">
      <w:pPr>
        <w:spacing w:line="240" w:lineRule="auto"/>
      </w:pPr>
      <w:r>
        <w:separator/>
      </w:r>
    </w:p>
  </w:footnote>
  <w:footnote w:type="continuationSeparator" w:id="0">
    <w:p w:rsidR="00177E59" w:rsidRDefault="00177E59" w:rsidP="00C164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74538"/>
      <w:docPartObj>
        <w:docPartGallery w:val="Page Numbers (Top of Page)"/>
        <w:docPartUnique/>
      </w:docPartObj>
    </w:sdtPr>
    <w:sdtEndPr/>
    <w:sdtContent>
      <w:p w:rsidR="00C164B8" w:rsidRDefault="00C164B8">
        <w:pPr>
          <w:pStyle w:val="Header"/>
          <w:jc w:val="center"/>
        </w:pPr>
        <w:r>
          <w:fldChar w:fldCharType="begin"/>
        </w:r>
        <w:r>
          <w:instrText>PAGE   \* MERGEFORMAT</w:instrText>
        </w:r>
        <w:r>
          <w:fldChar w:fldCharType="separate"/>
        </w:r>
        <w:r w:rsidR="00F83DF0" w:rsidRPr="00F83DF0">
          <w:rPr>
            <w:noProof/>
            <w:lang w:val="lt-LT"/>
          </w:rPr>
          <w:t>2</w:t>
        </w:r>
        <w:r>
          <w:fldChar w:fldCharType="end"/>
        </w:r>
      </w:p>
    </w:sdtContent>
  </w:sdt>
  <w:p w:rsidR="00C164B8" w:rsidRDefault="00C16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5AF"/>
    <w:multiLevelType w:val="multilevel"/>
    <w:tmpl w:val="0C3A8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A80066"/>
    <w:multiLevelType w:val="hybridMultilevel"/>
    <w:tmpl w:val="B4128A80"/>
    <w:lvl w:ilvl="0" w:tplc="E990CBE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F516CA"/>
    <w:multiLevelType w:val="multilevel"/>
    <w:tmpl w:val="DA384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D307BB"/>
    <w:multiLevelType w:val="multilevel"/>
    <w:tmpl w:val="95C09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09145B"/>
    <w:multiLevelType w:val="multilevel"/>
    <w:tmpl w:val="3A647812"/>
    <w:lvl w:ilvl="0">
      <w:start w:val="1"/>
      <w:numFmt w:val="decimal"/>
      <w:lvlText w:val="%1."/>
      <w:lvlJc w:val="right"/>
      <w:pPr>
        <w:ind w:left="720" w:hanging="294"/>
      </w:pPr>
      <w:rPr>
        <w:rFonts w:ascii="Times New Roman" w:eastAsia="Times New Roman" w:hAnsi="Times New Roman" w:cs="Times New Roman"/>
        <w:b/>
        <w:color w:val="000000"/>
        <w:u w:val="none"/>
      </w:rPr>
    </w:lvl>
    <w:lvl w:ilvl="1">
      <w:start w:val="1"/>
      <w:numFmt w:val="decimal"/>
      <w:lvlText w:val="%1.%2."/>
      <w:lvlJc w:val="right"/>
      <w:pPr>
        <w:ind w:left="992" w:hanging="283"/>
      </w:pPr>
      <w:rPr>
        <w:rFonts w:ascii="Times New Roman" w:eastAsia="Times New Roman" w:hAnsi="Times New Roman" w:cs="Times New Roman"/>
        <w:b/>
        <w:color w:val="000000"/>
        <w:sz w:val="24"/>
        <w:szCs w:val="24"/>
        <w:u w:val="none"/>
      </w:rPr>
    </w:lvl>
    <w:lvl w:ilvl="2">
      <w:start w:val="1"/>
      <w:numFmt w:val="decimal"/>
      <w:lvlText w:val="%1.%2.%3."/>
      <w:lvlJc w:val="right"/>
      <w:pPr>
        <w:ind w:left="1984" w:hanging="283"/>
      </w:pPr>
      <w:rPr>
        <w:rFonts w:ascii="Times New Roman" w:eastAsia="Times New Roman" w:hAnsi="Times New Roman" w:cs="Times New Roman"/>
        <w:b w:val="0"/>
        <w:color w:val="000000"/>
        <w:sz w:val="24"/>
        <w:szCs w:val="24"/>
        <w:u w:val="none"/>
      </w:rPr>
    </w:lvl>
    <w:lvl w:ilvl="3">
      <w:start w:val="1"/>
      <w:numFmt w:val="decimal"/>
      <w:lvlText w:val="%1.%2.%3.%4."/>
      <w:lvlJc w:val="right"/>
      <w:pPr>
        <w:ind w:left="2880" w:hanging="360"/>
      </w:pPr>
      <w:rPr>
        <w:rFonts w:ascii="Verdana" w:eastAsia="Verdana" w:hAnsi="Verdana" w:cs="Verdana"/>
        <w:b w:val="0"/>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79586B03"/>
    <w:multiLevelType w:val="multilevel"/>
    <w:tmpl w:val="40FA2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BC"/>
    <w:rsid w:val="0003257A"/>
    <w:rsid w:val="000E466D"/>
    <w:rsid w:val="00177E59"/>
    <w:rsid w:val="001A1CC6"/>
    <w:rsid w:val="00350438"/>
    <w:rsid w:val="004B0FF9"/>
    <w:rsid w:val="00723EF9"/>
    <w:rsid w:val="0098051A"/>
    <w:rsid w:val="009C287E"/>
    <w:rsid w:val="00A5672E"/>
    <w:rsid w:val="00A90AC3"/>
    <w:rsid w:val="00C164B8"/>
    <w:rsid w:val="00C46AAA"/>
    <w:rsid w:val="00C70B10"/>
    <w:rsid w:val="00D129BC"/>
    <w:rsid w:val="00EE1254"/>
    <w:rsid w:val="00F83DF0"/>
    <w:rsid w:val="00FA5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DAAA"/>
  <w15:chartTrackingRefBased/>
  <w15:docId w15:val="{8C0E6961-12A6-48F5-B030-5421B707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29BC"/>
    <w:pPr>
      <w:spacing w:after="0" w:line="276" w:lineRule="auto"/>
    </w:pPr>
    <w:rPr>
      <w:rFonts w:ascii="Arial" w:eastAsia="Arial" w:hAnsi="Arial" w:cs="Arial"/>
      <w:sz w:val="22"/>
      <w:lang w:val="lt" w:eastAsia="lt-LT"/>
    </w:rPr>
  </w:style>
  <w:style w:type="paragraph" w:styleId="Heading1">
    <w:name w:val="heading 1"/>
    <w:basedOn w:val="Normal"/>
    <w:next w:val="Normal"/>
    <w:link w:val="Heading1Char"/>
    <w:uiPriority w:val="9"/>
    <w:qFormat/>
    <w:rsid w:val="009805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D129BC"/>
    <w:pPr>
      <w:keepNext/>
      <w:keepLines/>
      <w:spacing w:line="240" w:lineRule="auto"/>
      <w:ind w:left="720" w:hanging="294"/>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D129BC"/>
    <w:pPr>
      <w:keepNext/>
      <w:keepLines/>
      <w:ind w:left="992" w:hanging="283"/>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29BC"/>
    <w:rPr>
      <w:rFonts w:eastAsia="Times New Roman" w:cs="Times New Roman"/>
      <w:b/>
      <w:szCs w:val="24"/>
      <w:lang w:val="lt" w:eastAsia="lt-LT"/>
    </w:rPr>
  </w:style>
  <w:style w:type="character" w:customStyle="1" w:styleId="Heading3Char">
    <w:name w:val="Heading 3 Char"/>
    <w:basedOn w:val="DefaultParagraphFont"/>
    <w:link w:val="Heading3"/>
    <w:rsid w:val="00D129BC"/>
    <w:rPr>
      <w:rFonts w:eastAsia="Times New Roman" w:cs="Times New Roman"/>
      <w:b/>
      <w:szCs w:val="24"/>
      <w:lang w:val="lt" w:eastAsia="lt-LT"/>
    </w:rPr>
  </w:style>
  <w:style w:type="paragraph" w:styleId="ListParagraph">
    <w:name w:val="List Paragraph"/>
    <w:uiPriority w:val="34"/>
    <w:qFormat/>
    <w:rsid w:val="00D129BC"/>
    <w:pPr>
      <w:spacing w:after="0" w:line="276" w:lineRule="auto"/>
      <w:ind w:left="720"/>
      <w:contextualSpacing/>
    </w:pPr>
    <w:rPr>
      <w:rFonts w:ascii="Arial" w:eastAsia="Arial" w:hAnsi="Arial" w:cs="Arial"/>
      <w:sz w:val="22"/>
      <w:lang w:val="lt" w:eastAsia="lt-LT"/>
    </w:rPr>
  </w:style>
  <w:style w:type="character" w:styleId="CommentReference">
    <w:name w:val="annotation reference"/>
    <w:basedOn w:val="DefaultParagraphFont"/>
    <w:uiPriority w:val="99"/>
    <w:semiHidden/>
    <w:unhideWhenUsed/>
    <w:rsid w:val="000E466D"/>
    <w:rPr>
      <w:sz w:val="16"/>
      <w:szCs w:val="16"/>
    </w:rPr>
  </w:style>
  <w:style w:type="paragraph" w:styleId="CommentText">
    <w:name w:val="annotation text"/>
    <w:basedOn w:val="Normal"/>
    <w:link w:val="CommentTextChar"/>
    <w:uiPriority w:val="99"/>
    <w:semiHidden/>
    <w:unhideWhenUsed/>
    <w:rsid w:val="000E466D"/>
    <w:pPr>
      <w:spacing w:line="240" w:lineRule="auto"/>
    </w:pPr>
    <w:rPr>
      <w:sz w:val="20"/>
      <w:szCs w:val="20"/>
    </w:rPr>
  </w:style>
  <w:style w:type="character" w:customStyle="1" w:styleId="CommentTextChar">
    <w:name w:val="Comment Text Char"/>
    <w:basedOn w:val="DefaultParagraphFont"/>
    <w:link w:val="CommentText"/>
    <w:uiPriority w:val="99"/>
    <w:semiHidden/>
    <w:rsid w:val="000E466D"/>
    <w:rPr>
      <w:rFonts w:ascii="Arial" w:eastAsia="Arial" w:hAnsi="Arial" w:cs="Arial"/>
      <w:sz w:val="20"/>
      <w:szCs w:val="20"/>
      <w:lang w:val="lt" w:eastAsia="lt-LT"/>
    </w:rPr>
  </w:style>
  <w:style w:type="paragraph" w:styleId="BalloonText">
    <w:name w:val="Balloon Text"/>
    <w:basedOn w:val="Normal"/>
    <w:link w:val="BalloonTextChar"/>
    <w:uiPriority w:val="99"/>
    <w:semiHidden/>
    <w:unhideWhenUsed/>
    <w:rsid w:val="000E46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66D"/>
    <w:rPr>
      <w:rFonts w:ascii="Segoe UI" w:eastAsia="Arial" w:hAnsi="Segoe UI" w:cs="Segoe UI"/>
      <w:sz w:val="18"/>
      <w:szCs w:val="18"/>
      <w:lang w:val="lt" w:eastAsia="lt-LT"/>
    </w:rPr>
  </w:style>
  <w:style w:type="paragraph" w:styleId="CommentSubject">
    <w:name w:val="annotation subject"/>
    <w:basedOn w:val="CommentText"/>
    <w:next w:val="CommentText"/>
    <w:link w:val="CommentSubjectChar"/>
    <w:uiPriority w:val="99"/>
    <w:semiHidden/>
    <w:unhideWhenUsed/>
    <w:rsid w:val="000E466D"/>
    <w:rPr>
      <w:b/>
      <w:bCs/>
    </w:rPr>
  </w:style>
  <w:style w:type="character" w:customStyle="1" w:styleId="CommentSubjectChar">
    <w:name w:val="Comment Subject Char"/>
    <w:basedOn w:val="CommentTextChar"/>
    <w:link w:val="CommentSubject"/>
    <w:uiPriority w:val="99"/>
    <w:semiHidden/>
    <w:rsid w:val="000E466D"/>
    <w:rPr>
      <w:rFonts w:ascii="Arial" w:eastAsia="Arial" w:hAnsi="Arial" w:cs="Arial"/>
      <w:b/>
      <w:bCs/>
      <w:sz w:val="20"/>
      <w:szCs w:val="20"/>
      <w:lang w:val="lt" w:eastAsia="lt-LT"/>
    </w:rPr>
  </w:style>
  <w:style w:type="paragraph" w:styleId="Header">
    <w:name w:val="header"/>
    <w:basedOn w:val="Normal"/>
    <w:link w:val="HeaderChar"/>
    <w:uiPriority w:val="99"/>
    <w:unhideWhenUsed/>
    <w:rsid w:val="00C164B8"/>
    <w:pPr>
      <w:tabs>
        <w:tab w:val="center" w:pos="4819"/>
        <w:tab w:val="right" w:pos="9638"/>
      </w:tabs>
      <w:spacing w:line="240" w:lineRule="auto"/>
    </w:pPr>
  </w:style>
  <w:style w:type="character" w:customStyle="1" w:styleId="HeaderChar">
    <w:name w:val="Header Char"/>
    <w:basedOn w:val="DefaultParagraphFont"/>
    <w:link w:val="Header"/>
    <w:uiPriority w:val="99"/>
    <w:rsid w:val="00C164B8"/>
    <w:rPr>
      <w:rFonts w:ascii="Arial" w:eastAsia="Arial" w:hAnsi="Arial" w:cs="Arial"/>
      <w:sz w:val="22"/>
      <w:lang w:val="lt" w:eastAsia="lt-LT"/>
    </w:rPr>
  </w:style>
  <w:style w:type="paragraph" w:styleId="Footer">
    <w:name w:val="footer"/>
    <w:basedOn w:val="Normal"/>
    <w:link w:val="FooterChar"/>
    <w:uiPriority w:val="99"/>
    <w:unhideWhenUsed/>
    <w:rsid w:val="00C164B8"/>
    <w:pPr>
      <w:tabs>
        <w:tab w:val="center" w:pos="4819"/>
        <w:tab w:val="right" w:pos="9638"/>
      </w:tabs>
      <w:spacing w:line="240" w:lineRule="auto"/>
    </w:pPr>
  </w:style>
  <w:style w:type="character" w:customStyle="1" w:styleId="FooterChar">
    <w:name w:val="Footer Char"/>
    <w:basedOn w:val="DefaultParagraphFont"/>
    <w:link w:val="Footer"/>
    <w:uiPriority w:val="99"/>
    <w:rsid w:val="00C164B8"/>
    <w:rPr>
      <w:rFonts w:ascii="Arial" w:eastAsia="Arial" w:hAnsi="Arial" w:cs="Arial"/>
      <w:sz w:val="22"/>
      <w:lang w:val="lt" w:eastAsia="lt-LT"/>
    </w:rPr>
  </w:style>
  <w:style w:type="character" w:customStyle="1" w:styleId="Heading1Char">
    <w:name w:val="Heading 1 Char"/>
    <w:basedOn w:val="DefaultParagraphFont"/>
    <w:link w:val="Heading1"/>
    <w:uiPriority w:val="9"/>
    <w:rsid w:val="0098051A"/>
    <w:rPr>
      <w:rFonts w:asciiTheme="majorHAnsi" w:eastAsiaTheme="majorEastAsia" w:hAnsiTheme="majorHAnsi" w:cstheme="majorBidi"/>
      <w:color w:val="2E74B5" w:themeColor="accent1" w:themeShade="BF"/>
      <w:sz w:val="32"/>
      <w:szCs w:val="32"/>
      <w:lang w:val="lt" w:eastAsia="lt-LT"/>
    </w:rPr>
  </w:style>
  <w:style w:type="paragraph" w:styleId="TOCHeading">
    <w:name w:val="TOC Heading"/>
    <w:basedOn w:val="Heading1"/>
    <w:next w:val="Normal"/>
    <w:uiPriority w:val="39"/>
    <w:unhideWhenUsed/>
    <w:qFormat/>
    <w:rsid w:val="0098051A"/>
    <w:pPr>
      <w:spacing w:line="259" w:lineRule="auto"/>
      <w:outlineLvl w:val="9"/>
    </w:pPr>
    <w:rPr>
      <w:lang w:val="en-US" w:eastAsia="en-US"/>
    </w:rPr>
  </w:style>
  <w:style w:type="paragraph" w:styleId="TOC2">
    <w:name w:val="toc 2"/>
    <w:basedOn w:val="Normal"/>
    <w:next w:val="Normal"/>
    <w:autoRedefine/>
    <w:uiPriority w:val="39"/>
    <w:unhideWhenUsed/>
    <w:rsid w:val="0098051A"/>
    <w:pPr>
      <w:spacing w:after="100"/>
      <w:ind w:left="220"/>
    </w:pPr>
  </w:style>
  <w:style w:type="paragraph" w:styleId="TOC3">
    <w:name w:val="toc 3"/>
    <w:basedOn w:val="Normal"/>
    <w:next w:val="Normal"/>
    <w:autoRedefine/>
    <w:uiPriority w:val="39"/>
    <w:unhideWhenUsed/>
    <w:rsid w:val="0098051A"/>
    <w:pPr>
      <w:spacing w:after="100"/>
      <w:ind w:left="440"/>
    </w:pPr>
  </w:style>
  <w:style w:type="character" w:styleId="Hyperlink">
    <w:name w:val="Hyperlink"/>
    <w:basedOn w:val="DefaultParagraphFont"/>
    <w:uiPriority w:val="99"/>
    <w:unhideWhenUsed/>
    <w:rsid w:val="00980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18135</Words>
  <Characters>10337</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Direktorius</cp:lastModifiedBy>
  <cp:revision>13</cp:revision>
  <dcterms:created xsi:type="dcterms:W3CDTF">2025-11-06T04:11:00Z</dcterms:created>
  <dcterms:modified xsi:type="dcterms:W3CDTF">2025-11-06T11:28:00Z</dcterms:modified>
</cp:coreProperties>
</file>