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83581" w14:textId="77777777" w:rsidR="00DA4E27" w:rsidRDefault="00DA4E27" w:rsidP="00DA4E27">
      <w:pPr>
        <w:tabs>
          <w:tab w:val="left" w:pos="3192"/>
        </w:tabs>
        <w:jc w:val="center"/>
        <w:rPr>
          <w:b/>
          <w:sz w:val="24"/>
          <w:szCs w:val="24"/>
        </w:rPr>
      </w:pPr>
    </w:p>
    <w:p w14:paraId="01A60E61" w14:textId="77777777" w:rsidR="00DA4E27" w:rsidRDefault="00DA4E27" w:rsidP="00DA4E27">
      <w:pPr>
        <w:tabs>
          <w:tab w:val="left" w:pos="3192"/>
        </w:tabs>
        <w:jc w:val="center"/>
        <w:rPr>
          <w:b/>
          <w:sz w:val="24"/>
          <w:szCs w:val="24"/>
        </w:rPr>
      </w:pPr>
    </w:p>
    <w:p w14:paraId="3E4FFA7F" w14:textId="38D9412C" w:rsidR="00DA4E27" w:rsidRDefault="00DA4E27" w:rsidP="00DA4E27">
      <w:pPr>
        <w:tabs>
          <w:tab w:val="left" w:pos="319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NEPERTRAUKIAMO MAITINIMO ŠALTINIŲ</w:t>
      </w:r>
    </w:p>
    <w:p w14:paraId="642DC27F" w14:textId="084E48EA" w:rsidR="00664AC6" w:rsidRDefault="00664AC6" w:rsidP="00DA4E27">
      <w:pPr>
        <w:tabs>
          <w:tab w:val="left" w:pos="3192"/>
        </w:tabs>
        <w:jc w:val="center"/>
        <w:rPr>
          <w:b/>
          <w:sz w:val="24"/>
          <w:szCs w:val="24"/>
        </w:rPr>
      </w:pPr>
      <w:r w:rsidRPr="0066290B">
        <w:rPr>
          <w:b/>
          <w:sz w:val="24"/>
          <w:szCs w:val="24"/>
        </w:rPr>
        <w:t>TECHNINĖ SPECIFIKACIJA</w:t>
      </w:r>
    </w:p>
    <w:p w14:paraId="69756767" w14:textId="77777777" w:rsidR="00DA4E27" w:rsidRDefault="00DA4E27" w:rsidP="00DA4E27">
      <w:pPr>
        <w:tabs>
          <w:tab w:val="left" w:pos="3192"/>
        </w:tabs>
        <w:jc w:val="center"/>
        <w:rPr>
          <w:b/>
          <w:sz w:val="24"/>
          <w:szCs w:val="24"/>
        </w:rPr>
      </w:pPr>
    </w:p>
    <w:p w14:paraId="7E37ADEF" w14:textId="77777777" w:rsidR="00DA4E27" w:rsidRPr="0066290B" w:rsidRDefault="00DA4E27" w:rsidP="00DA4E27">
      <w:pPr>
        <w:tabs>
          <w:tab w:val="left" w:pos="3192"/>
        </w:tabs>
        <w:jc w:val="center"/>
        <w:rPr>
          <w:b/>
          <w:sz w:val="24"/>
          <w:szCs w:val="24"/>
        </w:rPr>
      </w:pPr>
    </w:p>
    <w:p w14:paraId="4A8B8064" w14:textId="77777777" w:rsidR="00664AC6" w:rsidRPr="0066290B" w:rsidRDefault="00664AC6" w:rsidP="00664AC6">
      <w:pPr>
        <w:widowControl w:val="0"/>
        <w:numPr>
          <w:ilvl w:val="0"/>
          <w:numId w:val="1"/>
        </w:numPr>
        <w:tabs>
          <w:tab w:val="left" w:pos="426"/>
        </w:tabs>
        <w:suppressAutoHyphens/>
        <w:adjustRightInd w:val="0"/>
        <w:spacing w:before="240" w:after="120" w:line="360" w:lineRule="auto"/>
        <w:ind w:left="0" w:firstLine="0"/>
        <w:contextualSpacing/>
        <w:jc w:val="center"/>
        <w:textAlignment w:val="baseline"/>
        <w:rPr>
          <w:b/>
          <w:sz w:val="24"/>
          <w:szCs w:val="24"/>
          <w:lang w:eastAsia="ar-SA"/>
        </w:rPr>
      </w:pPr>
      <w:r w:rsidRPr="0066290B">
        <w:rPr>
          <w:b/>
          <w:sz w:val="24"/>
          <w:szCs w:val="24"/>
          <w:lang w:eastAsia="ar-SA"/>
        </w:rPr>
        <w:t>Bendrieji reikalavimai</w:t>
      </w:r>
    </w:p>
    <w:p w14:paraId="64C958A3" w14:textId="72232294" w:rsidR="00664AC6" w:rsidRPr="0066290B" w:rsidRDefault="00664AC6" w:rsidP="00A35451">
      <w:pPr>
        <w:pStyle w:val="ListParagraph"/>
        <w:numPr>
          <w:ilvl w:val="1"/>
          <w:numId w:val="2"/>
        </w:numPr>
        <w:spacing w:after="0" w:line="240" w:lineRule="auto"/>
        <w:ind w:left="0" w:firstLine="993"/>
        <w:jc w:val="both"/>
        <w:rPr>
          <w:szCs w:val="24"/>
        </w:rPr>
      </w:pPr>
      <w:r w:rsidRPr="0066290B">
        <w:rPr>
          <w:szCs w:val="24"/>
        </w:rPr>
        <w:t xml:space="preserve">Lietuvos Respublikos užsienio reikalų ministerija (toliau – Perkančioji organizacija) </w:t>
      </w:r>
      <w:r w:rsidR="003123DE" w:rsidRPr="0066290B">
        <w:rPr>
          <w:szCs w:val="24"/>
          <w:lang w:eastAsia="ar-SA"/>
        </w:rPr>
        <w:t>numato</w:t>
      </w:r>
      <w:r w:rsidRPr="0066290B">
        <w:rPr>
          <w:szCs w:val="24"/>
        </w:rPr>
        <w:t xml:space="preserve"> įsigyti nepertraukiamo maitinimo šal</w:t>
      </w:r>
      <w:r w:rsidR="001E0C35">
        <w:rPr>
          <w:szCs w:val="24"/>
        </w:rPr>
        <w:t xml:space="preserve">tinius (toliau – įrenginiai) – </w:t>
      </w:r>
      <w:r w:rsidR="001B1EEA">
        <w:rPr>
          <w:szCs w:val="24"/>
        </w:rPr>
        <w:t>9</w:t>
      </w:r>
      <w:r w:rsidRPr="0066290B">
        <w:rPr>
          <w:szCs w:val="24"/>
        </w:rPr>
        <w:t xml:space="preserve"> vnt.</w:t>
      </w:r>
    </w:p>
    <w:p w14:paraId="0FB4D922" w14:textId="77777777" w:rsidR="00664AC6" w:rsidRPr="0066290B" w:rsidRDefault="00664AC6" w:rsidP="00A35451">
      <w:pPr>
        <w:pStyle w:val="ListParagraph"/>
        <w:numPr>
          <w:ilvl w:val="1"/>
          <w:numId w:val="2"/>
        </w:numPr>
        <w:spacing w:after="0" w:line="240" w:lineRule="auto"/>
        <w:ind w:left="0" w:firstLine="993"/>
        <w:jc w:val="both"/>
        <w:rPr>
          <w:szCs w:val="24"/>
        </w:rPr>
      </w:pPr>
      <w:r w:rsidRPr="0066290B">
        <w:rPr>
          <w:szCs w:val="24"/>
          <w:lang w:eastAsia="ar-SA"/>
        </w:rPr>
        <w:t>Tiekėjas turi užtikrinti, kad įrenginių gamintojas nėra paskelbęs apie siūlomų įrenginių gamybos arba palaikymo nutraukimą (pvz. „End of life time“ ar „Discontinued“).</w:t>
      </w:r>
      <w:r w:rsidRPr="0066290B">
        <w:rPr>
          <w:szCs w:val="24"/>
        </w:rPr>
        <w:t xml:space="preserve"> </w:t>
      </w:r>
    </w:p>
    <w:p w14:paraId="5873CE98" w14:textId="1A3E0DAA" w:rsidR="003160E5" w:rsidRPr="003160E5" w:rsidRDefault="009A46F7" w:rsidP="003160E5">
      <w:pPr>
        <w:pStyle w:val="ListParagraph"/>
        <w:numPr>
          <w:ilvl w:val="1"/>
          <w:numId w:val="2"/>
        </w:numPr>
        <w:spacing w:after="0" w:line="240" w:lineRule="auto"/>
        <w:ind w:left="0" w:firstLine="993"/>
        <w:jc w:val="both"/>
        <w:rPr>
          <w:szCs w:val="24"/>
        </w:rPr>
      </w:pPr>
      <w:r>
        <w:rPr>
          <w:szCs w:val="24"/>
          <w:lang w:eastAsia="ar-SA"/>
        </w:rPr>
        <w:t>Įrenginiai pristatomi</w:t>
      </w:r>
      <w:r w:rsidR="001023C0">
        <w:rPr>
          <w:szCs w:val="24"/>
          <w:lang w:eastAsia="ar-SA"/>
        </w:rPr>
        <w:t xml:space="preserve"> adresu -</w:t>
      </w:r>
      <w:r w:rsidR="00664AC6" w:rsidRPr="0066290B">
        <w:rPr>
          <w:szCs w:val="24"/>
          <w:lang w:eastAsia="ar-SA"/>
        </w:rPr>
        <w:t xml:space="preserve"> </w:t>
      </w:r>
      <w:r w:rsidR="00585575">
        <w:t>J. Tumo-Vaižganto g. 2,</w:t>
      </w:r>
      <w:r>
        <w:t xml:space="preserve"> </w:t>
      </w:r>
      <w:r w:rsidR="00A262E5">
        <w:t xml:space="preserve">01108 </w:t>
      </w:r>
      <w:r w:rsidR="003160E5">
        <w:t>Vilnius</w:t>
      </w:r>
      <w:r w:rsidR="001023C0">
        <w:t>,</w:t>
      </w:r>
      <w:r w:rsidR="003160E5">
        <w:t xml:space="preserve"> </w:t>
      </w:r>
      <w:r w:rsidR="00987D83">
        <w:rPr>
          <w:szCs w:val="24"/>
        </w:rPr>
        <w:t xml:space="preserve">ne vėliau kaip per </w:t>
      </w:r>
      <w:r w:rsidR="00987D83" w:rsidRPr="00987D83">
        <w:rPr>
          <w:szCs w:val="24"/>
        </w:rPr>
        <w:t>60</w:t>
      </w:r>
      <w:r w:rsidR="00987D83">
        <w:rPr>
          <w:szCs w:val="24"/>
        </w:rPr>
        <w:t xml:space="preserve"> (šešiasdešimt) kalendorinių dienų</w:t>
      </w:r>
      <w:r w:rsidR="003160E5" w:rsidRPr="003160E5">
        <w:rPr>
          <w:szCs w:val="24"/>
        </w:rPr>
        <w:t xml:space="preserve"> nuo sutarties </w:t>
      </w:r>
      <w:r w:rsidR="003160E5" w:rsidRPr="003160E5">
        <w:rPr>
          <w:color w:val="000000" w:themeColor="text1"/>
          <w:szCs w:val="24"/>
        </w:rPr>
        <w:t xml:space="preserve">sudarymo </w:t>
      </w:r>
      <w:r w:rsidR="003160E5" w:rsidRPr="003160E5">
        <w:rPr>
          <w:szCs w:val="24"/>
        </w:rPr>
        <w:t>dienos.</w:t>
      </w:r>
    </w:p>
    <w:p w14:paraId="6DC9916E" w14:textId="77777777" w:rsidR="00664AC6" w:rsidRPr="0066290B" w:rsidRDefault="00664AC6" w:rsidP="00664AC6">
      <w:pPr>
        <w:jc w:val="both"/>
        <w:rPr>
          <w:sz w:val="24"/>
          <w:szCs w:val="24"/>
        </w:rPr>
      </w:pPr>
    </w:p>
    <w:p w14:paraId="68DD1E99" w14:textId="77777777" w:rsidR="002540E6" w:rsidRDefault="00664AC6" w:rsidP="00664AC6">
      <w:pPr>
        <w:pStyle w:val="ListParagraph"/>
        <w:numPr>
          <w:ilvl w:val="0"/>
          <w:numId w:val="1"/>
        </w:numPr>
        <w:spacing w:after="0"/>
        <w:jc w:val="center"/>
        <w:rPr>
          <w:b/>
          <w:szCs w:val="24"/>
          <w:lang w:eastAsia="ar-SA"/>
        </w:rPr>
      </w:pPr>
      <w:r w:rsidRPr="0066290B">
        <w:rPr>
          <w:rFonts w:eastAsia="Times New Roman"/>
          <w:b/>
          <w:szCs w:val="24"/>
          <w:lang w:eastAsia="ar-SA"/>
        </w:rPr>
        <w:t>Specialieji</w:t>
      </w:r>
      <w:r w:rsidRPr="0066290B">
        <w:rPr>
          <w:b/>
          <w:szCs w:val="24"/>
          <w:lang w:eastAsia="ar-SA"/>
        </w:rPr>
        <w:t xml:space="preserve"> reikalavimai</w:t>
      </w:r>
    </w:p>
    <w:p w14:paraId="3E714E02" w14:textId="18E88F9F" w:rsidR="00367AA1" w:rsidRPr="00DF176F" w:rsidRDefault="00367AA1" w:rsidP="00367AA1">
      <w:pPr>
        <w:tabs>
          <w:tab w:val="center" w:pos="4320"/>
          <w:tab w:val="right" w:pos="8640"/>
        </w:tabs>
        <w:rPr>
          <w:b/>
          <w:sz w:val="24"/>
          <w:szCs w:val="24"/>
        </w:rPr>
      </w:pPr>
      <w:r w:rsidRPr="00E01BBF">
        <w:rPr>
          <w:b/>
          <w:sz w:val="24"/>
          <w:szCs w:val="24"/>
        </w:rPr>
        <w:t>2.</w:t>
      </w:r>
      <w:r w:rsidR="00856E17" w:rsidRPr="00E01BBF">
        <w:rPr>
          <w:b/>
          <w:sz w:val="24"/>
          <w:szCs w:val="24"/>
        </w:rPr>
        <w:t>1</w:t>
      </w:r>
      <w:r w:rsidRPr="00E01BBF">
        <w:rPr>
          <w:b/>
          <w:sz w:val="24"/>
          <w:szCs w:val="24"/>
        </w:rPr>
        <w:t>. Ne</w:t>
      </w:r>
      <w:r w:rsidR="00DF176F">
        <w:rPr>
          <w:b/>
          <w:sz w:val="24"/>
          <w:szCs w:val="24"/>
        </w:rPr>
        <w:t xml:space="preserve">pertraukiamo maitinimo šaltiniai, </w:t>
      </w:r>
      <w:r w:rsidR="001B1EEA">
        <w:rPr>
          <w:b/>
          <w:sz w:val="24"/>
          <w:szCs w:val="24"/>
          <w:lang w:val="en-US"/>
        </w:rPr>
        <w:t>9</w:t>
      </w:r>
      <w:r w:rsidR="00DF176F">
        <w:rPr>
          <w:b/>
          <w:sz w:val="24"/>
          <w:szCs w:val="24"/>
          <w:lang w:val="en-US"/>
        </w:rPr>
        <w:t xml:space="preserve"> </w:t>
      </w:r>
      <w:r w:rsidR="00DF176F">
        <w:rPr>
          <w:b/>
          <w:sz w:val="24"/>
          <w:szCs w:val="24"/>
        </w:rPr>
        <w:t>vnt.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118"/>
        <w:gridCol w:w="5528"/>
      </w:tblGrid>
      <w:tr w:rsidR="00367AA1" w:rsidRPr="00856E17" w14:paraId="3C0EDD62" w14:textId="77777777" w:rsidTr="009A7CC0">
        <w:trPr>
          <w:tblHeader/>
        </w:trPr>
        <w:tc>
          <w:tcPr>
            <w:tcW w:w="988" w:type="dxa"/>
            <w:shd w:val="clear" w:color="auto" w:fill="9CC2E5" w:themeFill="accent1" w:themeFillTint="99"/>
            <w:vAlign w:val="center"/>
            <w:hideMark/>
          </w:tcPr>
          <w:p w14:paraId="1BCA809D" w14:textId="77777777" w:rsidR="00367AA1" w:rsidRPr="00856E17" w:rsidRDefault="00367AA1" w:rsidP="0049153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56E17">
              <w:rPr>
                <w:b/>
                <w:bCs/>
                <w:sz w:val="24"/>
                <w:szCs w:val="24"/>
                <w:lang w:val="en-US"/>
              </w:rPr>
              <w:t>Eil. Nr.</w:t>
            </w:r>
          </w:p>
        </w:tc>
        <w:tc>
          <w:tcPr>
            <w:tcW w:w="3118" w:type="dxa"/>
            <w:shd w:val="clear" w:color="auto" w:fill="9CC2E5" w:themeFill="accent1" w:themeFillTint="99"/>
            <w:vAlign w:val="center"/>
            <w:hideMark/>
          </w:tcPr>
          <w:p w14:paraId="42B4D15D" w14:textId="77777777" w:rsidR="00367AA1" w:rsidRPr="00856E17" w:rsidRDefault="00367AA1" w:rsidP="0049153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56E17">
              <w:rPr>
                <w:b/>
                <w:bCs/>
                <w:sz w:val="24"/>
                <w:szCs w:val="24"/>
                <w:lang w:val="en-US"/>
              </w:rPr>
              <w:t>Parametrai</w:t>
            </w:r>
          </w:p>
        </w:tc>
        <w:tc>
          <w:tcPr>
            <w:tcW w:w="5528" w:type="dxa"/>
            <w:shd w:val="clear" w:color="auto" w:fill="9CC2E5" w:themeFill="accent1" w:themeFillTint="99"/>
            <w:vAlign w:val="center"/>
            <w:hideMark/>
          </w:tcPr>
          <w:p w14:paraId="2DD0BDD2" w14:textId="77777777" w:rsidR="00367AA1" w:rsidRPr="00856E17" w:rsidRDefault="00367AA1" w:rsidP="0049153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56E17">
              <w:rPr>
                <w:b/>
                <w:bCs/>
                <w:sz w:val="24"/>
                <w:szCs w:val="24"/>
                <w:lang w:val="en-US"/>
              </w:rPr>
              <w:t>Minimalūs reikalavimai</w:t>
            </w:r>
          </w:p>
        </w:tc>
      </w:tr>
      <w:tr w:rsidR="007B35BF" w:rsidRPr="00856E17" w14:paraId="427EECB3" w14:textId="77777777" w:rsidTr="00992259">
        <w:tc>
          <w:tcPr>
            <w:tcW w:w="988" w:type="dxa"/>
            <w:vAlign w:val="center"/>
          </w:tcPr>
          <w:p w14:paraId="5394BD20" w14:textId="77777777" w:rsidR="009A7CC0" w:rsidRDefault="009A7CC0" w:rsidP="009A7CC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2.1.1.</w:t>
            </w:r>
          </w:p>
          <w:p w14:paraId="7FE70D74" w14:textId="77777777" w:rsidR="005D5868" w:rsidRDefault="005D5868" w:rsidP="009A7CC0">
            <w:pPr>
              <w:rPr>
                <w:sz w:val="24"/>
                <w:szCs w:val="24"/>
                <w:lang w:val="en-US"/>
              </w:rPr>
            </w:pPr>
          </w:p>
          <w:p w14:paraId="2A30A20C" w14:textId="77777777" w:rsidR="005D5868" w:rsidRDefault="005D5868" w:rsidP="009A7CC0">
            <w:pPr>
              <w:rPr>
                <w:sz w:val="24"/>
                <w:szCs w:val="24"/>
                <w:lang w:val="en-US"/>
              </w:rPr>
            </w:pPr>
          </w:p>
          <w:p w14:paraId="7F52F309" w14:textId="77777777" w:rsidR="005D5868" w:rsidRDefault="005D5868" w:rsidP="009A7CC0">
            <w:pPr>
              <w:rPr>
                <w:sz w:val="24"/>
                <w:szCs w:val="24"/>
                <w:lang w:val="en-US"/>
              </w:rPr>
            </w:pPr>
          </w:p>
          <w:p w14:paraId="214FC601" w14:textId="26C56F7E" w:rsidR="005D5868" w:rsidRPr="00856E17" w:rsidRDefault="005D5868" w:rsidP="009A7CC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vAlign w:val="center"/>
            <w:hideMark/>
          </w:tcPr>
          <w:p w14:paraId="2E86AC26" w14:textId="0003B6D9" w:rsidR="007B35BF" w:rsidRDefault="007B35BF" w:rsidP="006C7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Gamintojas, įrenginio</w:t>
            </w:r>
            <w:r w:rsidRPr="00BE5180">
              <w:rPr>
                <w:sz w:val="24"/>
                <w:szCs w:val="24"/>
              </w:rPr>
              <w:t xml:space="preserve"> pavadinimas</w:t>
            </w:r>
          </w:p>
          <w:p w14:paraId="17FA1543" w14:textId="700E6D46" w:rsidR="007B35BF" w:rsidRDefault="007B35BF" w:rsidP="006C7164">
            <w:pPr>
              <w:rPr>
                <w:sz w:val="24"/>
                <w:szCs w:val="24"/>
              </w:rPr>
            </w:pPr>
          </w:p>
          <w:p w14:paraId="748310A3" w14:textId="77777777" w:rsidR="007B35BF" w:rsidRDefault="007B35BF" w:rsidP="006C7164">
            <w:pPr>
              <w:rPr>
                <w:sz w:val="24"/>
                <w:szCs w:val="24"/>
              </w:rPr>
            </w:pPr>
          </w:p>
          <w:p w14:paraId="0C6BE032" w14:textId="5AB3D093" w:rsidR="007B35BF" w:rsidRPr="00856E17" w:rsidRDefault="007B35BF" w:rsidP="006C71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vAlign w:val="center"/>
            <w:hideMark/>
          </w:tcPr>
          <w:p w14:paraId="7AB01170" w14:textId="7A8CE917" w:rsidR="007B35BF" w:rsidRDefault="007B35BF" w:rsidP="007B35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Pateikiant pasiūlymą n</w:t>
            </w:r>
            <w:r w:rsidRPr="00BE5180">
              <w:rPr>
                <w:sz w:val="24"/>
                <w:szCs w:val="24"/>
              </w:rPr>
              <w:t xml:space="preserve">urodyti </w:t>
            </w:r>
            <w:r>
              <w:rPr>
                <w:sz w:val="24"/>
                <w:szCs w:val="24"/>
              </w:rPr>
              <w:t>įrenginio</w:t>
            </w:r>
            <w:r w:rsidRPr="00BE5180">
              <w:rPr>
                <w:sz w:val="24"/>
                <w:szCs w:val="24"/>
              </w:rPr>
              <w:t xml:space="preserve"> gamintoją, pavadinimą, modelį.</w:t>
            </w:r>
          </w:p>
          <w:p w14:paraId="4F99EA33" w14:textId="77777777" w:rsidR="007B35BF" w:rsidRPr="00E56692" w:rsidRDefault="007B35BF" w:rsidP="007B35BF">
            <w:pPr>
              <w:jc w:val="both"/>
              <w:rPr>
                <w:i/>
                <w:sz w:val="24"/>
                <w:szCs w:val="24"/>
              </w:rPr>
            </w:pPr>
            <w:r w:rsidRPr="00E56692">
              <w:rPr>
                <w:i/>
                <w:sz w:val="24"/>
                <w:szCs w:val="24"/>
              </w:rPr>
              <w:t>Atitiktį reikalavimams įrodantys dokumentai:</w:t>
            </w:r>
          </w:p>
          <w:p w14:paraId="74CB9E25" w14:textId="5EBA91C0" w:rsidR="007B35BF" w:rsidRPr="00EE4C33" w:rsidRDefault="007B35BF" w:rsidP="007B35BF">
            <w:pPr>
              <w:jc w:val="both"/>
              <w:rPr>
                <w:sz w:val="24"/>
                <w:szCs w:val="24"/>
              </w:rPr>
            </w:pPr>
            <w:r w:rsidRPr="00E56692">
              <w:rPr>
                <w:b/>
                <w:i/>
                <w:sz w:val="24"/>
                <w:szCs w:val="24"/>
              </w:rPr>
              <w:t>Nuoroda į informaciją, esančią gamintojo tinklalapyje arba kiti lygiaverčiai įrodymai.</w:t>
            </w:r>
          </w:p>
        </w:tc>
      </w:tr>
      <w:tr w:rsidR="005510C4" w:rsidRPr="00856E17" w14:paraId="1ACE4388" w14:textId="77777777" w:rsidTr="00B568FE">
        <w:tc>
          <w:tcPr>
            <w:tcW w:w="988" w:type="dxa"/>
            <w:vAlign w:val="center"/>
          </w:tcPr>
          <w:p w14:paraId="7104AAAF" w14:textId="77777777" w:rsidR="005510C4" w:rsidRDefault="009A7CC0" w:rsidP="005D58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2.1.2.</w:t>
            </w:r>
          </w:p>
          <w:p w14:paraId="2909CACE" w14:textId="77777777" w:rsidR="005D5868" w:rsidRDefault="005D5868" w:rsidP="005510C4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D8C6EA8" w14:textId="77777777" w:rsidR="005D5868" w:rsidRDefault="005D5868" w:rsidP="005510C4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9B7C99C" w14:textId="77777777" w:rsidR="005D5868" w:rsidRDefault="005D5868" w:rsidP="005510C4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9591E2B" w14:textId="77777777" w:rsidR="005D5868" w:rsidRDefault="005D5868" w:rsidP="005510C4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0BDA06B" w14:textId="77777777" w:rsidR="005D5868" w:rsidRDefault="005D5868" w:rsidP="005510C4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611A54E" w14:textId="77777777" w:rsidR="005D5868" w:rsidRDefault="005D5868" w:rsidP="005510C4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7993EE9" w14:textId="77777777" w:rsidR="005D5868" w:rsidRDefault="005D5868" w:rsidP="005510C4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C60A2C6" w14:textId="3DFF5629" w:rsidR="005D5868" w:rsidRPr="00856E17" w:rsidRDefault="005D5868" w:rsidP="005510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72513AD4" w14:textId="79CF4AC0" w:rsidR="005510C4" w:rsidRDefault="001A24B0" w:rsidP="006C7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Tiekėjas turi būti siūlomų įrenginių</w:t>
            </w:r>
            <w:r w:rsidR="005510C4" w:rsidRPr="00634AD1">
              <w:rPr>
                <w:sz w:val="24"/>
                <w:szCs w:val="24"/>
              </w:rPr>
              <w:t xml:space="preserve"> gamintojas arba būti įgaliotas gamintojo atstovas arba turi būti sudaręs atitinkamą sutartį su kitu ūkio subjektu, turinčiu teisę parduoti, prižiūrėti ir rem</w:t>
            </w:r>
            <w:r>
              <w:rPr>
                <w:sz w:val="24"/>
                <w:szCs w:val="24"/>
              </w:rPr>
              <w:t>ontuoti siūlomus įrenginius</w:t>
            </w:r>
          </w:p>
        </w:tc>
        <w:tc>
          <w:tcPr>
            <w:tcW w:w="5528" w:type="dxa"/>
          </w:tcPr>
          <w:p w14:paraId="314AB9FF" w14:textId="78E53BB7" w:rsidR="005510C4" w:rsidRDefault="005510C4" w:rsidP="005510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Pateikiant pasiūlymą pateikti dokumentą, patvirtinantį</w:t>
            </w:r>
            <w:r w:rsidRPr="00634AD1">
              <w:rPr>
                <w:sz w:val="24"/>
                <w:szCs w:val="24"/>
              </w:rPr>
              <w:t>, kad</w:t>
            </w:r>
            <w:r>
              <w:rPr>
                <w:sz w:val="24"/>
                <w:szCs w:val="24"/>
              </w:rPr>
              <w:t xml:space="preserve"> T</w:t>
            </w:r>
            <w:r w:rsidRPr="00634AD1">
              <w:rPr>
                <w:sz w:val="24"/>
                <w:szCs w:val="24"/>
              </w:rPr>
              <w:t>iekėjas yra siūlo</w:t>
            </w:r>
            <w:r w:rsidR="001A24B0">
              <w:rPr>
                <w:sz w:val="24"/>
                <w:szCs w:val="24"/>
              </w:rPr>
              <w:t>mų</w:t>
            </w:r>
            <w:r w:rsidRPr="00634AD1">
              <w:rPr>
                <w:sz w:val="24"/>
                <w:szCs w:val="24"/>
              </w:rPr>
              <w:t xml:space="preserve"> </w:t>
            </w:r>
            <w:r w:rsidR="001A24B0">
              <w:rPr>
                <w:sz w:val="24"/>
                <w:szCs w:val="24"/>
              </w:rPr>
              <w:t>įrenginių</w:t>
            </w:r>
            <w:r>
              <w:rPr>
                <w:sz w:val="24"/>
                <w:szCs w:val="24"/>
              </w:rPr>
              <w:t xml:space="preserve"> gamintojas (pateikiama T</w:t>
            </w:r>
            <w:r w:rsidRPr="00634AD1">
              <w:rPr>
                <w:sz w:val="24"/>
                <w:szCs w:val="24"/>
              </w:rPr>
              <w:t>iekėj</w:t>
            </w:r>
            <w:r w:rsidR="001A24B0">
              <w:rPr>
                <w:sz w:val="24"/>
                <w:szCs w:val="24"/>
              </w:rPr>
              <w:t>o pažyma), ar įgaliotas siūlomų įrenginių</w:t>
            </w:r>
            <w:r w:rsidRPr="00634AD1">
              <w:rPr>
                <w:sz w:val="24"/>
                <w:szCs w:val="24"/>
              </w:rPr>
              <w:t xml:space="preserve"> gamintojo atstovas (pateikiami oficialų atstovavimą patvirtinantys dokumentai) ir/ar turi garantinio aptarnavimo, techninės priežiūros ir remonto atlikimo galimybę (pateikiama patvirtinančios sutarties su kita įmone, tu</w:t>
            </w:r>
            <w:r w:rsidR="001A24B0">
              <w:rPr>
                <w:sz w:val="24"/>
                <w:szCs w:val="24"/>
              </w:rPr>
              <w:t>rinčia teisę atstovauti siūlomų įrenginių</w:t>
            </w:r>
            <w:r w:rsidRPr="00634AD1">
              <w:rPr>
                <w:sz w:val="24"/>
                <w:szCs w:val="24"/>
              </w:rPr>
              <w:t xml:space="preserve"> gamintoją skaitmeninė kopija).</w:t>
            </w:r>
          </w:p>
        </w:tc>
      </w:tr>
      <w:tr w:rsidR="00367AA1" w:rsidRPr="00856E17" w14:paraId="4A25C341" w14:textId="77777777" w:rsidTr="001266C5">
        <w:tc>
          <w:tcPr>
            <w:tcW w:w="988" w:type="dxa"/>
            <w:vAlign w:val="center"/>
          </w:tcPr>
          <w:p w14:paraId="1A4B613A" w14:textId="1F36253D" w:rsidR="00367AA1" w:rsidRPr="007B35BF" w:rsidRDefault="009A7CC0" w:rsidP="005D5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</w:t>
            </w:r>
          </w:p>
        </w:tc>
        <w:tc>
          <w:tcPr>
            <w:tcW w:w="3118" w:type="dxa"/>
          </w:tcPr>
          <w:p w14:paraId="58DDAB83" w14:textId="77777777" w:rsidR="00367AA1" w:rsidRPr="00856E17" w:rsidRDefault="00367AA1" w:rsidP="006C7164">
            <w:pPr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Tipas</w:t>
            </w:r>
          </w:p>
        </w:tc>
        <w:tc>
          <w:tcPr>
            <w:tcW w:w="5528" w:type="dxa"/>
          </w:tcPr>
          <w:p w14:paraId="4B099855" w14:textId="77777777" w:rsidR="00367AA1" w:rsidRPr="00856E17" w:rsidRDefault="00367AA1" w:rsidP="00C7711B">
            <w:pPr>
              <w:jc w:val="both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 xml:space="preserve">Line Interactive  </w:t>
            </w:r>
          </w:p>
        </w:tc>
      </w:tr>
      <w:tr w:rsidR="00367AA1" w:rsidRPr="00856E17" w14:paraId="5C3D6375" w14:textId="77777777" w:rsidTr="001266C5">
        <w:tc>
          <w:tcPr>
            <w:tcW w:w="988" w:type="dxa"/>
            <w:vAlign w:val="center"/>
          </w:tcPr>
          <w:p w14:paraId="25C06E4E" w14:textId="55B5F59E" w:rsidR="00367AA1" w:rsidRPr="00856E17" w:rsidRDefault="009A7CC0" w:rsidP="005D58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2.1.4.</w:t>
            </w:r>
          </w:p>
        </w:tc>
        <w:tc>
          <w:tcPr>
            <w:tcW w:w="3118" w:type="dxa"/>
          </w:tcPr>
          <w:p w14:paraId="62546A12" w14:textId="77777777" w:rsidR="00367AA1" w:rsidRPr="00856E17" w:rsidRDefault="00367AA1" w:rsidP="006C7164">
            <w:pPr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Galingumas</w:t>
            </w:r>
          </w:p>
        </w:tc>
        <w:tc>
          <w:tcPr>
            <w:tcW w:w="5528" w:type="dxa"/>
          </w:tcPr>
          <w:p w14:paraId="5B76162B" w14:textId="1535AC41" w:rsidR="00367AA1" w:rsidRPr="00856E17" w:rsidRDefault="00367AA1" w:rsidP="00C7711B">
            <w:pPr>
              <w:jc w:val="both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Ne</w:t>
            </w:r>
            <w:r w:rsidR="004E2DF9">
              <w:rPr>
                <w:sz w:val="24"/>
                <w:szCs w:val="24"/>
              </w:rPr>
              <w:t xml:space="preserve"> </w:t>
            </w:r>
            <w:r w:rsidRPr="00856E17">
              <w:rPr>
                <w:sz w:val="24"/>
                <w:szCs w:val="24"/>
              </w:rPr>
              <w:t>mažiau</w:t>
            </w:r>
            <w:r w:rsidR="00C15287">
              <w:rPr>
                <w:sz w:val="24"/>
                <w:szCs w:val="24"/>
              </w:rPr>
              <w:t xml:space="preserve"> nei</w:t>
            </w:r>
            <w:r w:rsidRPr="00856E17">
              <w:rPr>
                <w:sz w:val="24"/>
                <w:szCs w:val="24"/>
              </w:rPr>
              <w:t xml:space="preserve"> 3000VA/2700W </w:t>
            </w:r>
          </w:p>
        </w:tc>
      </w:tr>
      <w:tr w:rsidR="00367AA1" w:rsidRPr="00856E17" w14:paraId="0CAFAF14" w14:textId="77777777" w:rsidTr="001266C5">
        <w:tc>
          <w:tcPr>
            <w:tcW w:w="988" w:type="dxa"/>
            <w:vAlign w:val="center"/>
          </w:tcPr>
          <w:p w14:paraId="3A1D78AA" w14:textId="6FF2C784" w:rsidR="00367AA1" w:rsidRPr="00992259" w:rsidRDefault="009A7CC0" w:rsidP="005D5868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2.1.5.</w:t>
            </w:r>
          </w:p>
        </w:tc>
        <w:tc>
          <w:tcPr>
            <w:tcW w:w="3118" w:type="dxa"/>
          </w:tcPr>
          <w:p w14:paraId="17AAE096" w14:textId="77777777" w:rsidR="00367AA1" w:rsidRPr="00856E17" w:rsidRDefault="00367AA1" w:rsidP="006C7164">
            <w:pPr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Įėjimo įtampa</w:t>
            </w:r>
          </w:p>
        </w:tc>
        <w:tc>
          <w:tcPr>
            <w:tcW w:w="5528" w:type="dxa"/>
          </w:tcPr>
          <w:p w14:paraId="11769145" w14:textId="77777777" w:rsidR="00367AA1" w:rsidRPr="00856E17" w:rsidRDefault="00367AA1" w:rsidP="00C7711B">
            <w:pPr>
              <w:jc w:val="both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220/230/240V vienfazis</w:t>
            </w:r>
          </w:p>
        </w:tc>
      </w:tr>
      <w:tr w:rsidR="00367AA1" w:rsidRPr="00856E17" w14:paraId="0083037D" w14:textId="77777777" w:rsidTr="001266C5">
        <w:tc>
          <w:tcPr>
            <w:tcW w:w="988" w:type="dxa"/>
            <w:vAlign w:val="center"/>
          </w:tcPr>
          <w:p w14:paraId="4ADC4FC8" w14:textId="5E9C38FE" w:rsidR="00367AA1" w:rsidRPr="00856E17" w:rsidRDefault="009A7CC0" w:rsidP="005D58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2.1.6.</w:t>
            </w:r>
          </w:p>
        </w:tc>
        <w:tc>
          <w:tcPr>
            <w:tcW w:w="3118" w:type="dxa"/>
          </w:tcPr>
          <w:p w14:paraId="00ED8A5F" w14:textId="77777777" w:rsidR="00367AA1" w:rsidRPr="00856E17" w:rsidRDefault="00367AA1" w:rsidP="006C7164">
            <w:pPr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Įėjimo jungtis</w:t>
            </w:r>
          </w:p>
        </w:tc>
        <w:tc>
          <w:tcPr>
            <w:tcW w:w="5528" w:type="dxa"/>
          </w:tcPr>
          <w:p w14:paraId="33E20267" w14:textId="77777777" w:rsidR="00367AA1" w:rsidRPr="00856E17" w:rsidRDefault="00367AA1" w:rsidP="00C7711B">
            <w:pPr>
              <w:jc w:val="both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IEC-320 C20</w:t>
            </w:r>
          </w:p>
        </w:tc>
      </w:tr>
      <w:tr w:rsidR="00367AA1" w:rsidRPr="00856E17" w14:paraId="4AB75F1C" w14:textId="77777777" w:rsidTr="001266C5">
        <w:tc>
          <w:tcPr>
            <w:tcW w:w="988" w:type="dxa"/>
            <w:vAlign w:val="center"/>
          </w:tcPr>
          <w:p w14:paraId="3D2977C3" w14:textId="3216D7F4" w:rsidR="00367AA1" w:rsidRPr="00856E17" w:rsidRDefault="009A7CC0" w:rsidP="005D58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2.1.7.</w:t>
            </w:r>
          </w:p>
        </w:tc>
        <w:tc>
          <w:tcPr>
            <w:tcW w:w="3118" w:type="dxa"/>
          </w:tcPr>
          <w:p w14:paraId="7AE44F83" w14:textId="77777777" w:rsidR="00367AA1" w:rsidRPr="00856E17" w:rsidRDefault="00367AA1" w:rsidP="006C7164">
            <w:pPr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Išėjimo įtampa</w:t>
            </w:r>
          </w:p>
        </w:tc>
        <w:tc>
          <w:tcPr>
            <w:tcW w:w="5528" w:type="dxa"/>
          </w:tcPr>
          <w:p w14:paraId="23CB5638" w14:textId="77777777" w:rsidR="00367AA1" w:rsidRPr="00856E17" w:rsidRDefault="00367AA1" w:rsidP="00C7711B">
            <w:pPr>
              <w:jc w:val="both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 xml:space="preserve">Nustatoma 220/230/240V </w:t>
            </w:r>
          </w:p>
        </w:tc>
      </w:tr>
      <w:tr w:rsidR="00367AA1" w:rsidRPr="00856E17" w14:paraId="6CB40EC4" w14:textId="77777777" w:rsidTr="001266C5">
        <w:tc>
          <w:tcPr>
            <w:tcW w:w="988" w:type="dxa"/>
            <w:vAlign w:val="center"/>
          </w:tcPr>
          <w:p w14:paraId="77C89AEC" w14:textId="73BBE862" w:rsidR="00367AA1" w:rsidRPr="00856E17" w:rsidRDefault="009A7CC0" w:rsidP="005D58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2.1.8.</w:t>
            </w:r>
          </w:p>
        </w:tc>
        <w:tc>
          <w:tcPr>
            <w:tcW w:w="3118" w:type="dxa"/>
          </w:tcPr>
          <w:p w14:paraId="65EC4332" w14:textId="77777777" w:rsidR="00367AA1" w:rsidRPr="00856E17" w:rsidRDefault="00367AA1" w:rsidP="006C7164">
            <w:pPr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Išėjimo dažnis</w:t>
            </w:r>
          </w:p>
        </w:tc>
        <w:tc>
          <w:tcPr>
            <w:tcW w:w="5528" w:type="dxa"/>
          </w:tcPr>
          <w:p w14:paraId="33DAD1EC" w14:textId="77777777" w:rsidR="00367AA1" w:rsidRPr="00856E17" w:rsidRDefault="00367AA1" w:rsidP="00C7711B">
            <w:pPr>
              <w:jc w:val="both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50 Hz ±3 Hz</w:t>
            </w:r>
          </w:p>
        </w:tc>
      </w:tr>
      <w:tr w:rsidR="00367AA1" w:rsidRPr="00856E17" w14:paraId="636EE95F" w14:textId="77777777" w:rsidTr="001266C5">
        <w:tc>
          <w:tcPr>
            <w:tcW w:w="988" w:type="dxa"/>
            <w:vAlign w:val="center"/>
          </w:tcPr>
          <w:p w14:paraId="69A3C374" w14:textId="77777777" w:rsidR="00BB5A60" w:rsidRDefault="009A7CC0" w:rsidP="005D58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2.1.9.</w:t>
            </w:r>
          </w:p>
          <w:p w14:paraId="52A772B5" w14:textId="4746291B" w:rsidR="005D5868" w:rsidRPr="00856E17" w:rsidRDefault="005D5868" w:rsidP="005D58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7CE86D2E" w14:textId="77777777" w:rsidR="00367AA1" w:rsidRPr="00856E17" w:rsidRDefault="00367AA1" w:rsidP="006C7164">
            <w:pPr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Išėjimo apsauga</w:t>
            </w:r>
          </w:p>
        </w:tc>
        <w:tc>
          <w:tcPr>
            <w:tcW w:w="5528" w:type="dxa"/>
          </w:tcPr>
          <w:p w14:paraId="7BB17F55" w14:textId="77777777" w:rsidR="00367AA1" w:rsidRPr="00856E17" w:rsidRDefault="00367AA1" w:rsidP="00C7711B">
            <w:pPr>
              <w:jc w:val="both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Automatinė apsauga, turinti suveikimo atjungimo sistemą.</w:t>
            </w:r>
          </w:p>
        </w:tc>
      </w:tr>
      <w:tr w:rsidR="00367AA1" w:rsidRPr="00856E17" w14:paraId="285654CD" w14:textId="77777777" w:rsidTr="001266C5">
        <w:tc>
          <w:tcPr>
            <w:tcW w:w="988" w:type="dxa"/>
            <w:vAlign w:val="center"/>
          </w:tcPr>
          <w:p w14:paraId="1B8D9334" w14:textId="77777777" w:rsidR="00BB5A60" w:rsidRDefault="009A7CC0" w:rsidP="005D5868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2.1.10.</w:t>
            </w:r>
          </w:p>
          <w:p w14:paraId="785A25E6" w14:textId="77777777" w:rsidR="005D5868" w:rsidRDefault="005D5868" w:rsidP="005D5868">
            <w:pPr>
              <w:rPr>
                <w:sz w:val="24"/>
                <w:szCs w:val="24"/>
                <w:lang w:val="es-ES"/>
              </w:rPr>
            </w:pPr>
          </w:p>
          <w:p w14:paraId="30FBC757" w14:textId="157D05F4" w:rsidR="005D5868" w:rsidRPr="00992259" w:rsidRDefault="005D5868" w:rsidP="005D5868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118" w:type="dxa"/>
          </w:tcPr>
          <w:p w14:paraId="461B28AD" w14:textId="77777777" w:rsidR="00367AA1" w:rsidRPr="00856E17" w:rsidRDefault="00367AA1" w:rsidP="006C7164">
            <w:pPr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 xml:space="preserve">Išėjimo jungtys </w:t>
            </w:r>
          </w:p>
        </w:tc>
        <w:tc>
          <w:tcPr>
            <w:tcW w:w="5528" w:type="dxa"/>
          </w:tcPr>
          <w:p w14:paraId="1AF4470C" w14:textId="4C16F950" w:rsidR="00367AA1" w:rsidRPr="00856E17" w:rsidRDefault="00367AA1" w:rsidP="00C7711B">
            <w:pPr>
              <w:jc w:val="both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Ne mažiau nei 8</w:t>
            </w:r>
            <w:r w:rsidR="006E3311">
              <w:rPr>
                <w:sz w:val="24"/>
                <w:szCs w:val="24"/>
              </w:rPr>
              <w:t xml:space="preserve"> </w:t>
            </w:r>
            <w:r w:rsidRPr="00856E17">
              <w:rPr>
                <w:sz w:val="24"/>
                <w:szCs w:val="24"/>
              </w:rPr>
              <w:t xml:space="preserve">vnt. IEC 320 </w:t>
            </w:r>
            <w:r w:rsidR="005D6FC5">
              <w:rPr>
                <w:sz w:val="24"/>
                <w:szCs w:val="24"/>
              </w:rPr>
              <w:t>C13 lizdų, 1 IEC 320 C19 lizdas;</w:t>
            </w:r>
            <w:r w:rsidRPr="00856E17">
              <w:rPr>
                <w:sz w:val="24"/>
                <w:szCs w:val="24"/>
              </w:rPr>
              <w:t xml:space="preserve"> RJ-45 10/100 Base-T,  1 </w:t>
            </w:r>
            <w:r w:rsidR="004207CA">
              <w:rPr>
                <w:sz w:val="24"/>
                <w:szCs w:val="24"/>
              </w:rPr>
              <w:t>serial</w:t>
            </w:r>
            <w:r w:rsidRPr="00856E17">
              <w:rPr>
                <w:sz w:val="24"/>
                <w:szCs w:val="24"/>
              </w:rPr>
              <w:t xml:space="preserve"> ir 1 USB jungtys.</w:t>
            </w:r>
          </w:p>
        </w:tc>
      </w:tr>
      <w:tr w:rsidR="00367AA1" w:rsidRPr="00856E17" w14:paraId="0E33657D" w14:textId="77777777" w:rsidTr="001266C5">
        <w:tc>
          <w:tcPr>
            <w:tcW w:w="988" w:type="dxa"/>
            <w:vAlign w:val="center"/>
          </w:tcPr>
          <w:p w14:paraId="35191B1D" w14:textId="77777777" w:rsidR="00CE2013" w:rsidRDefault="009A7CC0" w:rsidP="005D5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2.1.11.</w:t>
            </w:r>
          </w:p>
          <w:p w14:paraId="13001437" w14:textId="51E0B8A9" w:rsidR="005D5868" w:rsidRPr="00992259" w:rsidRDefault="005D5868" w:rsidP="005D586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514505C" w14:textId="77777777" w:rsidR="00367AA1" w:rsidRPr="00856E17" w:rsidRDefault="00367AA1" w:rsidP="006C7164">
            <w:pPr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Apkrovos maitinimas nesant  įėjimo įtampai</w:t>
            </w:r>
          </w:p>
        </w:tc>
        <w:tc>
          <w:tcPr>
            <w:tcW w:w="5528" w:type="dxa"/>
          </w:tcPr>
          <w:p w14:paraId="775B8CBF" w14:textId="77777777" w:rsidR="00367AA1" w:rsidRPr="00856E17" w:rsidRDefault="004F4D46" w:rsidP="00C771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Įrenginys</w:t>
            </w:r>
            <w:r w:rsidR="00367AA1" w:rsidRPr="00856E17">
              <w:rPr>
                <w:sz w:val="24"/>
                <w:szCs w:val="24"/>
              </w:rPr>
              <w:t xml:space="preserve"> turi turėti galimybę pradėti tiekti įtampą apkrovai nesant įėjimo įtampos.</w:t>
            </w:r>
          </w:p>
        </w:tc>
      </w:tr>
      <w:tr w:rsidR="00367AA1" w:rsidRPr="00856E17" w14:paraId="321DC81F" w14:textId="77777777" w:rsidTr="001266C5">
        <w:tc>
          <w:tcPr>
            <w:tcW w:w="988" w:type="dxa"/>
            <w:vAlign w:val="center"/>
          </w:tcPr>
          <w:p w14:paraId="275198FB" w14:textId="77777777" w:rsidR="00CE2013" w:rsidRDefault="009A7CC0" w:rsidP="005D5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2.1.12.</w:t>
            </w:r>
          </w:p>
          <w:p w14:paraId="45ABC8F4" w14:textId="77777777" w:rsidR="005D5868" w:rsidRDefault="005D5868" w:rsidP="005D5868">
            <w:pPr>
              <w:rPr>
                <w:sz w:val="24"/>
                <w:szCs w:val="24"/>
              </w:rPr>
            </w:pPr>
          </w:p>
          <w:p w14:paraId="4F08341D" w14:textId="77777777" w:rsidR="005D5868" w:rsidRDefault="005D5868" w:rsidP="005D5868">
            <w:pPr>
              <w:rPr>
                <w:sz w:val="24"/>
                <w:szCs w:val="24"/>
              </w:rPr>
            </w:pPr>
          </w:p>
          <w:p w14:paraId="65D78FD4" w14:textId="77777777" w:rsidR="005D5868" w:rsidRDefault="005D5868" w:rsidP="005D5868">
            <w:pPr>
              <w:rPr>
                <w:sz w:val="24"/>
                <w:szCs w:val="24"/>
              </w:rPr>
            </w:pPr>
          </w:p>
          <w:p w14:paraId="69DF3FBB" w14:textId="77777777" w:rsidR="005D5868" w:rsidRDefault="005D5868" w:rsidP="005D5868">
            <w:pPr>
              <w:rPr>
                <w:sz w:val="24"/>
                <w:szCs w:val="24"/>
              </w:rPr>
            </w:pPr>
          </w:p>
          <w:p w14:paraId="64C927AD" w14:textId="19B5ADF5" w:rsidR="005D5868" w:rsidRPr="00992259" w:rsidRDefault="005D5868" w:rsidP="005D586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4040BB1" w14:textId="77777777" w:rsidR="00367AA1" w:rsidRPr="00856E17" w:rsidRDefault="00367AA1" w:rsidP="006C7164">
            <w:pPr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Apsauga nuo trumpo jungimo ir agresyvių ar laidžių skysčių patekimo į įrenginio vidų</w:t>
            </w:r>
          </w:p>
        </w:tc>
        <w:tc>
          <w:tcPr>
            <w:tcW w:w="5528" w:type="dxa"/>
          </w:tcPr>
          <w:p w14:paraId="7A4131BB" w14:textId="77777777" w:rsidR="00367AA1" w:rsidRPr="00856E17" w:rsidRDefault="00367AA1" w:rsidP="004F4D46">
            <w:pPr>
              <w:jc w:val="both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 xml:space="preserve">Įvykus trumpam jungimui turi būti iškart atjungiama atitinkama išėjimo grupė arba įėjimo jungtis. </w:t>
            </w:r>
            <w:r w:rsidR="004F4D46">
              <w:rPr>
                <w:sz w:val="24"/>
                <w:szCs w:val="24"/>
              </w:rPr>
              <w:t>Įrenginio</w:t>
            </w:r>
            <w:r w:rsidRPr="00856E17">
              <w:rPr>
                <w:sz w:val="24"/>
                <w:szCs w:val="24"/>
              </w:rPr>
              <w:t xml:space="preserve"> korpuso viršutinė dalis (jei </w:t>
            </w:r>
            <w:r w:rsidR="004F4D46">
              <w:rPr>
                <w:sz w:val="24"/>
                <w:szCs w:val="24"/>
              </w:rPr>
              <w:t>įrenginys</w:t>
            </w:r>
            <w:r w:rsidRPr="00856E17">
              <w:rPr>
                <w:sz w:val="24"/>
                <w:szCs w:val="24"/>
              </w:rPr>
              <w:t xml:space="preserve"> gali būti eksploatuojamas keliose padėtyse, visos dalys, galinčios būti viršutinėmis) neturi turėti ventiliacijos ar kitokios paskirties kiaurymių. </w:t>
            </w:r>
          </w:p>
        </w:tc>
      </w:tr>
      <w:tr w:rsidR="00367AA1" w:rsidRPr="00856E17" w14:paraId="7A251807" w14:textId="77777777" w:rsidTr="001266C5">
        <w:tc>
          <w:tcPr>
            <w:tcW w:w="988" w:type="dxa"/>
            <w:vAlign w:val="center"/>
          </w:tcPr>
          <w:p w14:paraId="0020FD26" w14:textId="77777777" w:rsidR="00CE2013" w:rsidRDefault="009A7CC0" w:rsidP="005D5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2.1.13.</w:t>
            </w:r>
          </w:p>
          <w:p w14:paraId="43AD69A6" w14:textId="77777777" w:rsidR="005D5868" w:rsidRDefault="005D5868" w:rsidP="005D5868">
            <w:pPr>
              <w:rPr>
                <w:sz w:val="24"/>
                <w:szCs w:val="24"/>
              </w:rPr>
            </w:pPr>
          </w:p>
          <w:p w14:paraId="3B932A66" w14:textId="7ABDD880" w:rsidR="005D5868" w:rsidRPr="00856E17" w:rsidRDefault="005D5868" w:rsidP="005D586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7CE5C6E" w14:textId="77777777" w:rsidR="00367AA1" w:rsidRPr="00856E17" w:rsidRDefault="00367AA1" w:rsidP="006C7164">
            <w:pPr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Nepertraukiamo elektros energijos tiekimo trukmė</w:t>
            </w:r>
          </w:p>
        </w:tc>
        <w:tc>
          <w:tcPr>
            <w:tcW w:w="5528" w:type="dxa"/>
          </w:tcPr>
          <w:p w14:paraId="62BCA57A" w14:textId="65C79D3F" w:rsidR="00367AA1" w:rsidRPr="00856E17" w:rsidRDefault="009126C8" w:rsidP="00C771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mažiau nei 5 (penkias</w:t>
            </w:r>
            <w:r w:rsidR="00C50F66">
              <w:rPr>
                <w:sz w:val="24"/>
                <w:szCs w:val="24"/>
              </w:rPr>
              <w:t>)</w:t>
            </w:r>
            <w:r w:rsidR="00367AA1" w:rsidRPr="00856E17">
              <w:rPr>
                <w:sz w:val="24"/>
                <w:szCs w:val="24"/>
              </w:rPr>
              <w:t xml:space="preserve"> min</w:t>
            </w:r>
            <w:r w:rsidR="00F85FCA">
              <w:rPr>
                <w:sz w:val="24"/>
                <w:szCs w:val="24"/>
              </w:rPr>
              <w:t>.</w:t>
            </w:r>
            <w:r w:rsidR="00367AA1" w:rsidRPr="00856E17">
              <w:rPr>
                <w:sz w:val="24"/>
                <w:szCs w:val="24"/>
              </w:rPr>
              <w:t xml:space="preserve"> esant 100</w:t>
            </w:r>
            <w:r w:rsidR="00DB45E4">
              <w:rPr>
                <w:sz w:val="24"/>
                <w:szCs w:val="24"/>
              </w:rPr>
              <w:t xml:space="preserve"> </w:t>
            </w:r>
            <w:r w:rsidR="00367AA1" w:rsidRPr="00856E17">
              <w:rPr>
                <w:sz w:val="24"/>
                <w:szCs w:val="24"/>
              </w:rPr>
              <w:t>%  nominaliai apkrovai,  ne mažiau nei 11</w:t>
            </w:r>
            <w:r w:rsidR="00C50F66">
              <w:rPr>
                <w:sz w:val="24"/>
                <w:szCs w:val="24"/>
              </w:rPr>
              <w:t xml:space="preserve"> (vienuolikai)</w:t>
            </w:r>
            <w:r w:rsidR="00F85FCA">
              <w:rPr>
                <w:sz w:val="24"/>
                <w:szCs w:val="24"/>
              </w:rPr>
              <w:t xml:space="preserve"> min.</w:t>
            </w:r>
            <w:r w:rsidR="00367AA1" w:rsidRPr="00856E17">
              <w:rPr>
                <w:sz w:val="24"/>
                <w:szCs w:val="24"/>
              </w:rPr>
              <w:t xml:space="preserve"> esant 50</w:t>
            </w:r>
            <w:r w:rsidR="00DB45E4">
              <w:rPr>
                <w:sz w:val="24"/>
                <w:szCs w:val="24"/>
              </w:rPr>
              <w:t xml:space="preserve"> </w:t>
            </w:r>
            <w:r w:rsidR="00367AA1" w:rsidRPr="00856E17">
              <w:rPr>
                <w:sz w:val="24"/>
                <w:szCs w:val="24"/>
              </w:rPr>
              <w:t>%  nominaliai apkrovai;</w:t>
            </w:r>
          </w:p>
        </w:tc>
      </w:tr>
      <w:tr w:rsidR="00367AA1" w:rsidRPr="00856E17" w14:paraId="320E6AEB" w14:textId="77777777" w:rsidTr="001266C5">
        <w:tc>
          <w:tcPr>
            <w:tcW w:w="988" w:type="dxa"/>
            <w:vAlign w:val="center"/>
          </w:tcPr>
          <w:p w14:paraId="5E08098A" w14:textId="55530B38" w:rsidR="00367AA1" w:rsidRDefault="009A7CC0" w:rsidP="005D5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2.1.14.</w:t>
            </w:r>
          </w:p>
          <w:p w14:paraId="207F8A5D" w14:textId="77777777" w:rsidR="00CE2013" w:rsidRDefault="00CE2013" w:rsidP="005D5868">
            <w:pPr>
              <w:rPr>
                <w:sz w:val="24"/>
                <w:szCs w:val="24"/>
              </w:rPr>
            </w:pPr>
          </w:p>
          <w:p w14:paraId="7C17B528" w14:textId="7CAD5414" w:rsidR="00CE2013" w:rsidRPr="00856E17" w:rsidRDefault="00CE2013" w:rsidP="005D586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48DC009" w14:textId="77777777" w:rsidR="00367AA1" w:rsidRPr="00856E17" w:rsidRDefault="00367AA1" w:rsidP="006C7164">
            <w:pPr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 xml:space="preserve">Aplinkos, kurioje </w:t>
            </w:r>
            <w:r w:rsidR="005D6FC5">
              <w:rPr>
                <w:sz w:val="24"/>
                <w:szCs w:val="24"/>
              </w:rPr>
              <w:t xml:space="preserve">įrenginys </w:t>
            </w:r>
            <w:r w:rsidRPr="00856E17">
              <w:rPr>
                <w:sz w:val="24"/>
                <w:szCs w:val="24"/>
              </w:rPr>
              <w:t>bus eksploatuojama</w:t>
            </w:r>
            <w:r w:rsidR="005D6FC5">
              <w:rPr>
                <w:sz w:val="24"/>
                <w:szCs w:val="24"/>
              </w:rPr>
              <w:t>s</w:t>
            </w:r>
            <w:r w:rsidRPr="00856E17">
              <w:rPr>
                <w:sz w:val="24"/>
                <w:szCs w:val="24"/>
              </w:rPr>
              <w:t>, temperatūra</w:t>
            </w:r>
          </w:p>
        </w:tc>
        <w:tc>
          <w:tcPr>
            <w:tcW w:w="5528" w:type="dxa"/>
          </w:tcPr>
          <w:p w14:paraId="3D0CE087" w14:textId="77777777" w:rsidR="00367AA1" w:rsidRPr="00856E17" w:rsidRDefault="00367AA1" w:rsidP="00C7711B">
            <w:pPr>
              <w:jc w:val="both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0 - 40</w:t>
            </w:r>
            <w:r w:rsidRPr="00856E17">
              <w:rPr>
                <w:sz w:val="24"/>
                <w:szCs w:val="24"/>
              </w:rPr>
              <w:sym w:font="Symbol" w:char="F0B0"/>
            </w:r>
            <w:r w:rsidRPr="00856E17">
              <w:rPr>
                <w:sz w:val="24"/>
                <w:szCs w:val="24"/>
              </w:rPr>
              <w:t xml:space="preserve"> C</w:t>
            </w:r>
          </w:p>
        </w:tc>
      </w:tr>
      <w:tr w:rsidR="00367AA1" w:rsidRPr="00856E17" w14:paraId="1AD8C522" w14:textId="77777777" w:rsidTr="001266C5">
        <w:tc>
          <w:tcPr>
            <w:tcW w:w="988" w:type="dxa"/>
            <w:vAlign w:val="center"/>
          </w:tcPr>
          <w:p w14:paraId="52E38880" w14:textId="03107721" w:rsidR="00367AA1" w:rsidRDefault="009A7CC0" w:rsidP="005D58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2.1.15.</w:t>
            </w:r>
          </w:p>
          <w:p w14:paraId="6E2884F9" w14:textId="1BF84E11" w:rsidR="00CE2013" w:rsidRPr="00856E17" w:rsidRDefault="00CE2013" w:rsidP="005D58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238228DD" w14:textId="77777777" w:rsidR="00367AA1" w:rsidRPr="00856E17" w:rsidRDefault="000E7C62" w:rsidP="006C7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Aplinkos, kurioje įrenginys</w:t>
            </w:r>
            <w:r w:rsidR="00367AA1" w:rsidRPr="00856E17">
              <w:rPr>
                <w:sz w:val="24"/>
                <w:szCs w:val="24"/>
              </w:rPr>
              <w:t xml:space="preserve"> bus eksploatuojama</w:t>
            </w:r>
            <w:r>
              <w:rPr>
                <w:sz w:val="24"/>
                <w:szCs w:val="24"/>
              </w:rPr>
              <w:t>s</w:t>
            </w:r>
            <w:r w:rsidR="00367AA1" w:rsidRPr="00856E17">
              <w:rPr>
                <w:sz w:val="24"/>
                <w:szCs w:val="24"/>
              </w:rPr>
              <w:t>, drėgmė</w:t>
            </w:r>
          </w:p>
        </w:tc>
        <w:tc>
          <w:tcPr>
            <w:tcW w:w="5528" w:type="dxa"/>
          </w:tcPr>
          <w:p w14:paraId="5366690C" w14:textId="77777777" w:rsidR="00367AA1" w:rsidRPr="00856E17" w:rsidRDefault="00367AA1" w:rsidP="00C7711B">
            <w:pPr>
              <w:jc w:val="both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0 - 95 %</w:t>
            </w:r>
          </w:p>
        </w:tc>
      </w:tr>
      <w:tr w:rsidR="00367AA1" w:rsidRPr="00856E17" w14:paraId="740F9371" w14:textId="77777777" w:rsidTr="001266C5">
        <w:tc>
          <w:tcPr>
            <w:tcW w:w="988" w:type="dxa"/>
            <w:vAlign w:val="center"/>
          </w:tcPr>
          <w:p w14:paraId="63E3CD90" w14:textId="4F670216" w:rsidR="00367AA1" w:rsidRDefault="009A7CC0" w:rsidP="005D58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2.1.16.</w:t>
            </w:r>
          </w:p>
          <w:p w14:paraId="090F5FAE" w14:textId="1AAFC34B" w:rsidR="00CE2013" w:rsidRPr="00856E17" w:rsidRDefault="00CE2013" w:rsidP="005D58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2DD63DC6" w14:textId="77777777" w:rsidR="00367AA1" w:rsidRPr="00856E17" w:rsidRDefault="00367AA1" w:rsidP="006C7164">
            <w:pPr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Baterijų keitimas</w:t>
            </w:r>
          </w:p>
        </w:tc>
        <w:tc>
          <w:tcPr>
            <w:tcW w:w="5528" w:type="dxa"/>
          </w:tcPr>
          <w:p w14:paraId="0F0CAB2D" w14:textId="77777777" w:rsidR="00367AA1" w:rsidRPr="00856E17" w:rsidRDefault="00367AA1" w:rsidP="00C7711B">
            <w:pPr>
              <w:jc w:val="both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Galimybė pakeisti įrengtas baterijas nepertraukiant prie išėjimo jungčių prijungtos įrangos darbo.</w:t>
            </w:r>
          </w:p>
        </w:tc>
      </w:tr>
      <w:tr w:rsidR="00367AA1" w:rsidRPr="00856E17" w14:paraId="29D17259" w14:textId="77777777" w:rsidTr="001266C5">
        <w:tc>
          <w:tcPr>
            <w:tcW w:w="988" w:type="dxa"/>
            <w:vAlign w:val="center"/>
          </w:tcPr>
          <w:p w14:paraId="14985BCD" w14:textId="239BB984" w:rsidR="00CE2013" w:rsidRPr="00856E17" w:rsidRDefault="009A7CC0" w:rsidP="001956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2.1.17.</w:t>
            </w:r>
          </w:p>
        </w:tc>
        <w:tc>
          <w:tcPr>
            <w:tcW w:w="3118" w:type="dxa"/>
          </w:tcPr>
          <w:p w14:paraId="340683CA" w14:textId="77777777" w:rsidR="00367AA1" w:rsidRPr="00856E17" w:rsidRDefault="00DE440A" w:rsidP="006C7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Įrenginio</w:t>
            </w:r>
            <w:r w:rsidR="00367AA1" w:rsidRPr="00856E17">
              <w:rPr>
                <w:sz w:val="24"/>
                <w:szCs w:val="24"/>
              </w:rPr>
              <w:t xml:space="preserve"> konstrukcija</w:t>
            </w:r>
          </w:p>
        </w:tc>
        <w:tc>
          <w:tcPr>
            <w:tcW w:w="5528" w:type="dxa"/>
          </w:tcPr>
          <w:p w14:paraId="46724BC4" w14:textId="27A13FDA" w:rsidR="00367AA1" w:rsidRPr="00856E17" w:rsidRDefault="001956BE" w:rsidP="00BC5D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Pastatomas Tower tipo</w:t>
            </w:r>
          </w:p>
        </w:tc>
      </w:tr>
      <w:tr w:rsidR="00367AA1" w:rsidRPr="00856E17" w14:paraId="22C3CCA3" w14:textId="77777777" w:rsidTr="001266C5">
        <w:tc>
          <w:tcPr>
            <w:tcW w:w="988" w:type="dxa"/>
            <w:vAlign w:val="center"/>
          </w:tcPr>
          <w:p w14:paraId="2ED9CC7B" w14:textId="7157C8D8" w:rsidR="00367AA1" w:rsidRDefault="009A7CC0" w:rsidP="005D5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2.1.18.</w:t>
            </w:r>
          </w:p>
          <w:p w14:paraId="631C997F" w14:textId="2E4BD93D" w:rsidR="00CE2013" w:rsidRPr="00856E17" w:rsidRDefault="00CE2013" w:rsidP="005D586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B397CD2" w14:textId="77777777" w:rsidR="00367AA1" w:rsidRPr="00856E17" w:rsidRDefault="00A16400" w:rsidP="006C7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Informavimas apie įrenginio</w:t>
            </w:r>
            <w:r w:rsidR="00367AA1" w:rsidRPr="00856E17">
              <w:rPr>
                <w:sz w:val="24"/>
                <w:szCs w:val="24"/>
              </w:rPr>
              <w:t xml:space="preserve"> statusą </w:t>
            </w:r>
          </w:p>
        </w:tc>
        <w:tc>
          <w:tcPr>
            <w:tcW w:w="5528" w:type="dxa"/>
          </w:tcPr>
          <w:p w14:paraId="47765C68" w14:textId="77777777" w:rsidR="00367AA1" w:rsidRPr="00856E17" w:rsidRDefault="00367AA1" w:rsidP="00BF60BE">
            <w:pPr>
              <w:jc w:val="both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 xml:space="preserve">SNMP modulis ir grafinis (arba šviesos diodų), įmontuotas į </w:t>
            </w:r>
            <w:r w:rsidR="00BF60BE">
              <w:rPr>
                <w:sz w:val="24"/>
                <w:szCs w:val="24"/>
              </w:rPr>
              <w:t>įrenginio</w:t>
            </w:r>
            <w:r w:rsidRPr="00856E17">
              <w:rPr>
                <w:sz w:val="24"/>
                <w:szCs w:val="24"/>
              </w:rPr>
              <w:t xml:space="preserve"> korpusą, indikatorius.</w:t>
            </w:r>
          </w:p>
        </w:tc>
      </w:tr>
      <w:tr w:rsidR="00367AA1" w:rsidRPr="00856E17" w14:paraId="58CC6BC0" w14:textId="77777777" w:rsidTr="001266C5">
        <w:tc>
          <w:tcPr>
            <w:tcW w:w="988" w:type="dxa"/>
            <w:vAlign w:val="center"/>
          </w:tcPr>
          <w:p w14:paraId="62F5AFE3" w14:textId="701E1A20" w:rsidR="00367AA1" w:rsidRDefault="009A7CC0" w:rsidP="005D58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2.1.19.</w:t>
            </w:r>
          </w:p>
          <w:p w14:paraId="2CFBACCB" w14:textId="77777777" w:rsidR="00CE2013" w:rsidRDefault="00CE2013" w:rsidP="005D5868">
            <w:pPr>
              <w:rPr>
                <w:sz w:val="24"/>
                <w:szCs w:val="24"/>
                <w:lang w:val="en-US"/>
              </w:rPr>
            </w:pPr>
          </w:p>
          <w:p w14:paraId="1F7B2C89" w14:textId="04821D79" w:rsidR="00CE2013" w:rsidRDefault="00CE2013" w:rsidP="005D5868">
            <w:pPr>
              <w:rPr>
                <w:sz w:val="24"/>
                <w:szCs w:val="24"/>
                <w:lang w:val="en-US"/>
              </w:rPr>
            </w:pPr>
          </w:p>
          <w:p w14:paraId="0EB16854" w14:textId="6B7CC166" w:rsidR="00FB6526" w:rsidRDefault="00FB6526" w:rsidP="005D5868">
            <w:pPr>
              <w:rPr>
                <w:sz w:val="24"/>
                <w:szCs w:val="24"/>
                <w:lang w:val="en-US"/>
              </w:rPr>
            </w:pPr>
          </w:p>
          <w:p w14:paraId="2C145D7E" w14:textId="77777777" w:rsidR="00FB6526" w:rsidRDefault="00FB6526" w:rsidP="005D5868">
            <w:pPr>
              <w:rPr>
                <w:sz w:val="24"/>
                <w:szCs w:val="24"/>
                <w:lang w:val="en-US"/>
              </w:rPr>
            </w:pPr>
          </w:p>
          <w:p w14:paraId="4C8E4E4C" w14:textId="5CFAE049" w:rsidR="00CE2013" w:rsidRPr="00856E17" w:rsidRDefault="00CE2013" w:rsidP="005D58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0A5EA596" w14:textId="77777777" w:rsidR="00367AA1" w:rsidRPr="00856E17" w:rsidRDefault="00367AA1" w:rsidP="006C7164">
            <w:pPr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 xml:space="preserve">Informavimas apie </w:t>
            </w:r>
            <w:r w:rsidR="00BF60BE">
              <w:rPr>
                <w:sz w:val="24"/>
                <w:szCs w:val="24"/>
              </w:rPr>
              <w:t>įrenginio</w:t>
            </w:r>
            <w:r w:rsidRPr="00856E17">
              <w:rPr>
                <w:sz w:val="24"/>
                <w:szCs w:val="24"/>
              </w:rPr>
              <w:t xml:space="preserve"> statusą pateikiamas grafiniame arba šviesos diodų indikatoriuje</w:t>
            </w:r>
          </w:p>
        </w:tc>
        <w:tc>
          <w:tcPr>
            <w:tcW w:w="5528" w:type="dxa"/>
          </w:tcPr>
          <w:p w14:paraId="6C031526" w14:textId="77777777" w:rsidR="00367AA1" w:rsidRPr="00856E17" w:rsidRDefault="00367AA1" w:rsidP="009A7CC0">
            <w:pPr>
              <w:jc w:val="both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Turi būti pateikta informacija apie:</w:t>
            </w:r>
          </w:p>
          <w:p w14:paraId="4D4F52B5" w14:textId="77777777" w:rsidR="00367AA1" w:rsidRPr="001F42C8" w:rsidRDefault="00367AA1" w:rsidP="009A7CC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80" w:hanging="270"/>
              <w:jc w:val="both"/>
              <w:rPr>
                <w:szCs w:val="24"/>
              </w:rPr>
            </w:pPr>
            <w:r w:rsidRPr="001F42C8">
              <w:rPr>
                <w:szCs w:val="24"/>
              </w:rPr>
              <w:t>baterijų gedimą ir/ar būtinybę jas pakeisti, apkrovos dydį;</w:t>
            </w:r>
          </w:p>
          <w:p w14:paraId="7BC94D8B" w14:textId="77777777" w:rsidR="001F42C8" w:rsidRPr="001F42C8" w:rsidRDefault="00367AA1" w:rsidP="009A7CC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80" w:hanging="270"/>
              <w:jc w:val="both"/>
              <w:rPr>
                <w:szCs w:val="24"/>
              </w:rPr>
            </w:pPr>
            <w:r w:rsidRPr="001F42C8">
              <w:rPr>
                <w:szCs w:val="24"/>
              </w:rPr>
              <w:t xml:space="preserve">baterijų įkrovimo lygį; </w:t>
            </w:r>
          </w:p>
          <w:p w14:paraId="7724C5FD" w14:textId="567FB180" w:rsidR="00367AA1" w:rsidRPr="001F42C8" w:rsidRDefault="00367AA1" w:rsidP="009A7CC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80" w:hanging="270"/>
              <w:jc w:val="both"/>
              <w:rPr>
                <w:szCs w:val="24"/>
              </w:rPr>
            </w:pPr>
            <w:r w:rsidRPr="001F42C8">
              <w:rPr>
                <w:szCs w:val="24"/>
              </w:rPr>
              <w:t>apkrovą.</w:t>
            </w:r>
          </w:p>
        </w:tc>
      </w:tr>
      <w:tr w:rsidR="00367AA1" w:rsidRPr="00856E17" w14:paraId="46B9A623" w14:textId="77777777" w:rsidTr="001266C5">
        <w:tc>
          <w:tcPr>
            <w:tcW w:w="988" w:type="dxa"/>
            <w:vAlign w:val="center"/>
          </w:tcPr>
          <w:p w14:paraId="354E93DF" w14:textId="30AE1268" w:rsidR="00367AA1" w:rsidRPr="00856E17" w:rsidRDefault="009A7CC0" w:rsidP="005D58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2.1.20.</w:t>
            </w:r>
          </w:p>
        </w:tc>
        <w:tc>
          <w:tcPr>
            <w:tcW w:w="3118" w:type="dxa"/>
          </w:tcPr>
          <w:p w14:paraId="228B93CD" w14:textId="5C39BE70" w:rsidR="00367AA1" w:rsidRPr="00856E17" w:rsidRDefault="00367AA1" w:rsidP="00694AF5">
            <w:pPr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SNMP</w:t>
            </w:r>
            <w:r w:rsidR="009126C8">
              <w:rPr>
                <w:sz w:val="24"/>
                <w:szCs w:val="24"/>
              </w:rPr>
              <w:t xml:space="preserve"> </w:t>
            </w:r>
            <w:r w:rsidRPr="00856E17">
              <w:rPr>
                <w:sz w:val="24"/>
                <w:szCs w:val="24"/>
              </w:rPr>
              <w:t>sąsaja</w:t>
            </w:r>
          </w:p>
        </w:tc>
        <w:tc>
          <w:tcPr>
            <w:tcW w:w="5528" w:type="dxa"/>
          </w:tcPr>
          <w:p w14:paraId="5FB1E561" w14:textId="77777777" w:rsidR="00367AA1" w:rsidRPr="00856E17" w:rsidRDefault="00367AA1" w:rsidP="00C7711B">
            <w:pPr>
              <w:jc w:val="both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Ethernet 10/100 Base-T.</w:t>
            </w:r>
          </w:p>
        </w:tc>
      </w:tr>
      <w:tr w:rsidR="00367AA1" w:rsidRPr="00856E17" w14:paraId="0BE17951" w14:textId="77777777" w:rsidTr="001266C5">
        <w:tc>
          <w:tcPr>
            <w:tcW w:w="988" w:type="dxa"/>
            <w:vAlign w:val="center"/>
          </w:tcPr>
          <w:p w14:paraId="0ACE13C1" w14:textId="41AEB7F5" w:rsidR="00367AA1" w:rsidRDefault="009A7CC0" w:rsidP="005D58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2.1.21.</w:t>
            </w:r>
          </w:p>
          <w:p w14:paraId="6AA1E300" w14:textId="77777777" w:rsidR="00CE2013" w:rsidRDefault="00CE2013" w:rsidP="005D5868">
            <w:pPr>
              <w:rPr>
                <w:sz w:val="24"/>
                <w:szCs w:val="24"/>
                <w:lang w:val="en-US"/>
              </w:rPr>
            </w:pPr>
          </w:p>
          <w:p w14:paraId="235AA730" w14:textId="77777777" w:rsidR="00CE2013" w:rsidRDefault="00CE2013" w:rsidP="005D5868">
            <w:pPr>
              <w:rPr>
                <w:sz w:val="24"/>
                <w:szCs w:val="24"/>
                <w:lang w:val="en-US"/>
              </w:rPr>
            </w:pPr>
          </w:p>
          <w:p w14:paraId="2045248E" w14:textId="77777777" w:rsidR="00CE2013" w:rsidRDefault="00CE2013" w:rsidP="005D5868">
            <w:pPr>
              <w:rPr>
                <w:sz w:val="24"/>
                <w:szCs w:val="24"/>
                <w:lang w:val="en-US"/>
              </w:rPr>
            </w:pPr>
          </w:p>
          <w:p w14:paraId="475E436A" w14:textId="77777777" w:rsidR="00CE2013" w:rsidRDefault="00CE2013" w:rsidP="005D5868">
            <w:pPr>
              <w:rPr>
                <w:sz w:val="24"/>
                <w:szCs w:val="24"/>
                <w:lang w:val="en-US"/>
              </w:rPr>
            </w:pPr>
          </w:p>
          <w:p w14:paraId="02BDC5AE" w14:textId="77777777" w:rsidR="00CE2013" w:rsidRDefault="00CE2013" w:rsidP="005D5868">
            <w:pPr>
              <w:rPr>
                <w:sz w:val="24"/>
                <w:szCs w:val="24"/>
                <w:lang w:val="en-US"/>
              </w:rPr>
            </w:pPr>
          </w:p>
          <w:p w14:paraId="5B2755C5" w14:textId="3D1C538B" w:rsidR="00CE2013" w:rsidRPr="00856E17" w:rsidRDefault="00CE2013" w:rsidP="005D58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0F12443B" w14:textId="77777777" w:rsidR="00367AA1" w:rsidRPr="00856E17" w:rsidRDefault="00367AA1" w:rsidP="006C7164">
            <w:pPr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Informacija perduodama naudojant SNMP sąsają</w:t>
            </w:r>
          </w:p>
        </w:tc>
        <w:tc>
          <w:tcPr>
            <w:tcW w:w="5528" w:type="dxa"/>
          </w:tcPr>
          <w:p w14:paraId="4AD040DB" w14:textId="77777777" w:rsidR="00B36553" w:rsidRDefault="00367AA1" w:rsidP="00C7711B">
            <w:pPr>
              <w:jc w:val="both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 xml:space="preserve">Pagrindinių NMĮ sudedamųjų dalių (baterijos, invertorius, </w:t>
            </w:r>
            <w:r w:rsidR="00B36553">
              <w:rPr>
                <w:sz w:val="24"/>
                <w:szCs w:val="24"/>
              </w:rPr>
              <w:t>į</w:t>
            </w:r>
            <w:r w:rsidRPr="00856E17">
              <w:rPr>
                <w:sz w:val="24"/>
                <w:szCs w:val="24"/>
              </w:rPr>
              <w:t xml:space="preserve">kroviklis ir t.t.) būsena. </w:t>
            </w:r>
          </w:p>
          <w:p w14:paraId="3254FEF4" w14:textId="77777777" w:rsidR="00B36553" w:rsidRDefault="00367AA1" w:rsidP="00C7711B">
            <w:pPr>
              <w:jc w:val="both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 xml:space="preserve">Baterijų įkrovimo lygis. </w:t>
            </w:r>
          </w:p>
          <w:p w14:paraId="01C5B7FA" w14:textId="77777777" w:rsidR="00367AA1" w:rsidRPr="00856E17" w:rsidRDefault="00367AA1" w:rsidP="00C7711B">
            <w:pPr>
              <w:jc w:val="both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Likusi veikimo trukmė.</w:t>
            </w:r>
          </w:p>
          <w:p w14:paraId="192FA36D" w14:textId="77777777" w:rsidR="00B36553" w:rsidRDefault="00367AA1" w:rsidP="00C7711B">
            <w:pPr>
              <w:jc w:val="both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 xml:space="preserve">Įėjimo įtampa ir dažnis. </w:t>
            </w:r>
          </w:p>
          <w:p w14:paraId="539D4984" w14:textId="77777777" w:rsidR="00B36553" w:rsidRDefault="00367AA1" w:rsidP="00C7711B">
            <w:pPr>
              <w:jc w:val="both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 xml:space="preserve">Išėjimo įtampa ir dažnis. </w:t>
            </w:r>
          </w:p>
          <w:p w14:paraId="381188E2" w14:textId="77777777" w:rsidR="00367AA1" w:rsidRDefault="00367AA1" w:rsidP="00C7711B">
            <w:pPr>
              <w:jc w:val="both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Apkrovos lygis.</w:t>
            </w:r>
          </w:p>
          <w:p w14:paraId="541A3148" w14:textId="6AF179DF" w:rsidR="00B07D74" w:rsidRPr="00856E17" w:rsidRDefault="00B07D74" w:rsidP="00A278FD">
            <w:pPr>
              <w:jc w:val="both"/>
              <w:rPr>
                <w:sz w:val="24"/>
                <w:szCs w:val="24"/>
              </w:rPr>
            </w:pPr>
            <w:r w:rsidRPr="00B07D74">
              <w:rPr>
                <w:sz w:val="24"/>
                <w:szCs w:val="24"/>
              </w:rPr>
              <w:t>Išorinė</w:t>
            </w:r>
            <w:r w:rsidR="00A278FD">
              <w:rPr>
                <w:sz w:val="24"/>
                <w:szCs w:val="24"/>
              </w:rPr>
              <w:t>s</w:t>
            </w:r>
            <w:r w:rsidRPr="00B07D74">
              <w:rPr>
                <w:sz w:val="24"/>
                <w:szCs w:val="24"/>
              </w:rPr>
              <w:t xml:space="preserve"> temperatūr</w:t>
            </w:r>
            <w:r w:rsidR="00A278FD">
              <w:rPr>
                <w:sz w:val="24"/>
                <w:szCs w:val="24"/>
              </w:rPr>
              <w:t>os, drėgmės lygio duomenys</w:t>
            </w:r>
            <w:r w:rsidRPr="00B07D74">
              <w:rPr>
                <w:sz w:val="24"/>
                <w:szCs w:val="24"/>
              </w:rPr>
              <w:t>.</w:t>
            </w:r>
          </w:p>
        </w:tc>
      </w:tr>
      <w:tr w:rsidR="00367AA1" w:rsidRPr="00856E17" w14:paraId="6EF589D6" w14:textId="77777777" w:rsidTr="001266C5">
        <w:tc>
          <w:tcPr>
            <w:tcW w:w="988" w:type="dxa"/>
            <w:vAlign w:val="center"/>
          </w:tcPr>
          <w:p w14:paraId="2040720A" w14:textId="227C4405" w:rsidR="002C3D54" w:rsidRDefault="009A7CC0" w:rsidP="005D5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2.1.22.</w:t>
            </w:r>
          </w:p>
          <w:p w14:paraId="144A409F" w14:textId="0C8586B9" w:rsidR="00FB6526" w:rsidRDefault="00FB6526" w:rsidP="005D5868">
            <w:pPr>
              <w:rPr>
                <w:sz w:val="24"/>
                <w:szCs w:val="24"/>
              </w:rPr>
            </w:pPr>
          </w:p>
          <w:p w14:paraId="798E0D91" w14:textId="77777777" w:rsidR="00FB6526" w:rsidRDefault="00FB6526" w:rsidP="005D5868">
            <w:pPr>
              <w:rPr>
                <w:sz w:val="24"/>
                <w:szCs w:val="24"/>
              </w:rPr>
            </w:pPr>
          </w:p>
          <w:p w14:paraId="6DE30C96" w14:textId="77777777" w:rsidR="002C3D54" w:rsidRDefault="002C3D54" w:rsidP="005D5868">
            <w:pPr>
              <w:rPr>
                <w:sz w:val="24"/>
                <w:szCs w:val="24"/>
              </w:rPr>
            </w:pPr>
          </w:p>
          <w:p w14:paraId="63637375" w14:textId="77777777" w:rsidR="002C3D54" w:rsidRDefault="002C3D54" w:rsidP="005D5868">
            <w:pPr>
              <w:rPr>
                <w:sz w:val="24"/>
                <w:szCs w:val="24"/>
              </w:rPr>
            </w:pPr>
          </w:p>
          <w:p w14:paraId="65F90AC9" w14:textId="77777777" w:rsidR="002C3D54" w:rsidRDefault="002C3D54" w:rsidP="005D5868">
            <w:pPr>
              <w:rPr>
                <w:sz w:val="24"/>
                <w:szCs w:val="24"/>
              </w:rPr>
            </w:pPr>
          </w:p>
          <w:p w14:paraId="17FF6FDF" w14:textId="77777777" w:rsidR="002C3D54" w:rsidRDefault="002C3D54" w:rsidP="005D5868">
            <w:pPr>
              <w:rPr>
                <w:sz w:val="24"/>
                <w:szCs w:val="24"/>
              </w:rPr>
            </w:pPr>
          </w:p>
          <w:p w14:paraId="6C19DA45" w14:textId="77777777" w:rsidR="002C3D54" w:rsidRDefault="002C3D54" w:rsidP="005D5868">
            <w:pPr>
              <w:rPr>
                <w:sz w:val="24"/>
                <w:szCs w:val="24"/>
              </w:rPr>
            </w:pPr>
          </w:p>
          <w:p w14:paraId="63F7C9F4" w14:textId="2DB74D36" w:rsidR="002C3D54" w:rsidRPr="00856E17" w:rsidRDefault="002C3D54" w:rsidP="005D586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40B71F4" w14:textId="77777777" w:rsidR="00367AA1" w:rsidRPr="00856E17" w:rsidRDefault="0002160B" w:rsidP="006C7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Įrenginio</w:t>
            </w:r>
            <w:r w:rsidR="00367AA1" w:rsidRPr="00856E17">
              <w:rPr>
                <w:sz w:val="24"/>
                <w:szCs w:val="24"/>
              </w:rPr>
              <w:t xml:space="preserve"> valdymo programinė įranga</w:t>
            </w:r>
          </w:p>
        </w:tc>
        <w:tc>
          <w:tcPr>
            <w:tcW w:w="5528" w:type="dxa"/>
          </w:tcPr>
          <w:p w14:paraId="361F6F17" w14:textId="48D9D9CD" w:rsidR="00367AA1" w:rsidRPr="00856E17" w:rsidRDefault="00367AA1" w:rsidP="00A278FD">
            <w:pPr>
              <w:jc w:val="both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 xml:space="preserve">Su </w:t>
            </w:r>
            <w:r w:rsidR="00563842">
              <w:rPr>
                <w:sz w:val="24"/>
                <w:szCs w:val="24"/>
              </w:rPr>
              <w:t>įrenginiu</w:t>
            </w:r>
            <w:r w:rsidRPr="00856E17">
              <w:rPr>
                <w:sz w:val="24"/>
                <w:szCs w:val="24"/>
              </w:rPr>
              <w:t xml:space="preserve"> turi būti pateikiama programinė įranga, įdiegiama tarnybinėje stotyje, kuri skirta centralizuotai, </w:t>
            </w:r>
            <w:r w:rsidR="00563842">
              <w:rPr>
                <w:sz w:val="24"/>
                <w:szCs w:val="24"/>
              </w:rPr>
              <w:t>įrenginio,</w:t>
            </w:r>
            <w:r w:rsidRPr="00856E17">
              <w:rPr>
                <w:sz w:val="24"/>
                <w:szCs w:val="24"/>
              </w:rPr>
              <w:t xml:space="preserve"> SNMP</w:t>
            </w:r>
            <w:r w:rsidR="00694AF5">
              <w:rPr>
                <w:sz w:val="24"/>
                <w:szCs w:val="24"/>
              </w:rPr>
              <w:t xml:space="preserve"> (nemažiau nei V2 ir V3</w:t>
            </w:r>
            <w:r w:rsidR="00A278FD">
              <w:rPr>
                <w:sz w:val="24"/>
                <w:szCs w:val="24"/>
              </w:rPr>
              <w:t xml:space="preserve"> versijos</w:t>
            </w:r>
            <w:r w:rsidR="00694AF5">
              <w:rPr>
                <w:sz w:val="24"/>
                <w:szCs w:val="24"/>
              </w:rPr>
              <w:t xml:space="preserve">) </w:t>
            </w:r>
            <w:r w:rsidRPr="00856E17">
              <w:rPr>
                <w:sz w:val="24"/>
                <w:szCs w:val="24"/>
              </w:rPr>
              <w:t xml:space="preserve">protokolu perduodamai, informacijai sisteminti, apdoroti, saugoti, </w:t>
            </w:r>
            <w:r w:rsidR="00563842">
              <w:rPr>
                <w:sz w:val="24"/>
                <w:szCs w:val="24"/>
              </w:rPr>
              <w:t>įrenginio</w:t>
            </w:r>
            <w:r w:rsidRPr="00856E17">
              <w:rPr>
                <w:sz w:val="24"/>
                <w:szCs w:val="24"/>
              </w:rPr>
              <w:t xml:space="preserve"> būklei atvaizduoti ir nuotoliniam </w:t>
            </w:r>
            <w:r w:rsidR="00563842">
              <w:rPr>
                <w:sz w:val="24"/>
                <w:szCs w:val="24"/>
              </w:rPr>
              <w:t>įrenginio</w:t>
            </w:r>
            <w:r w:rsidRPr="00856E17">
              <w:rPr>
                <w:sz w:val="24"/>
                <w:szCs w:val="24"/>
              </w:rPr>
              <w:t xml:space="preserve"> valdymui. Kartu su </w:t>
            </w:r>
            <w:r w:rsidR="00563842">
              <w:rPr>
                <w:sz w:val="24"/>
                <w:szCs w:val="24"/>
              </w:rPr>
              <w:t>įrenginiu</w:t>
            </w:r>
            <w:r w:rsidRPr="00856E17">
              <w:rPr>
                <w:sz w:val="24"/>
                <w:szCs w:val="24"/>
              </w:rPr>
              <w:t xml:space="preserve"> turi būti pateikta </w:t>
            </w:r>
            <w:r w:rsidR="00563842">
              <w:rPr>
                <w:sz w:val="24"/>
                <w:szCs w:val="24"/>
              </w:rPr>
              <w:t>įrenginio</w:t>
            </w:r>
            <w:r w:rsidRPr="00856E17">
              <w:rPr>
                <w:sz w:val="24"/>
                <w:szCs w:val="24"/>
              </w:rPr>
              <w:t xml:space="preserve"> valdymo programinė įranga, skirta įdiegti vartotojo kompiuteryje, įgalinanti stebėti </w:t>
            </w:r>
            <w:r w:rsidR="00563842">
              <w:rPr>
                <w:sz w:val="24"/>
                <w:szCs w:val="24"/>
              </w:rPr>
              <w:t>įrenginio</w:t>
            </w:r>
            <w:r w:rsidRPr="00856E17">
              <w:rPr>
                <w:sz w:val="24"/>
                <w:szCs w:val="24"/>
              </w:rPr>
              <w:t xml:space="preserve"> būklę, tikrinti darbą ir jį valdyti </w:t>
            </w:r>
            <w:r w:rsidR="00563842">
              <w:rPr>
                <w:sz w:val="24"/>
                <w:szCs w:val="24"/>
              </w:rPr>
              <w:t>įrenginio</w:t>
            </w:r>
            <w:r w:rsidRPr="00856E17">
              <w:rPr>
                <w:sz w:val="24"/>
                <w:szCs w:val="24"/>
              </w:rPr>
              <w:t xml:space="preserve"> įrengimo vietoje.</w:t>
            </w:r>
            <w:r w:rsidR="00717B6B">
              <w:rPr>
                <w:sz w:val="24"/>
                <w:szCs w:val="24"/>
              </w:rPr>
              <w:t xml:space="preserve"> Į</w:t>
            </w:r>
            <w:r w:rsidR="00717B6B" w:rsidRPr="00717B6B">
              <w:rPr>
                <w:sz w:val="24"/>
                <w:szCs w:val="24"/>
              </w:rPr>
              <w:t>renginio valdymo programinė įranga</w:t>
            </w:r>
            <w:r w:rsidR="00717B6B">
              <w:rPr>
                <w:sz w:val="24"/>
                <w:szCs w:val="24"/>
              </w:rPr>
              <w:t xml:space="preserve"> turi palaikyti HTTPS protokolą, prisijungimas į valdymo aplinką turi būti apsaugotas </w:t>
            </w:r>
            <w:r w:rsidR="00A278FD">
              <w:rPr>
                <w:sz w:val="24"/>
                <w:szCs w:val="24"/>
              </w:rPr>
              <w:t xml:space="preserve">vartotoju ir </w:t>
            </w:r>
            <w:r w:rsidR="00717B6B">
              <w:rPr>
                <w:sz w:val="24"/>
                <w:szCs w:val="24"/>
              </w:rPr>
              <w:t>slaptažodžiu.</w:t>
            </w:r>
            <w:r w:rsidRPr="00856E17">
              <w:rPr>
                <w:sz w:val="24"/>
                <w:szCs w:val="24"/>
              </w:rPr>
              <w:t xml:space="preserve"> </w:t>
            </w:r>
          </w:p>
        </w:tc>
      </w:tr>
      <w:tr w:rsidR="00D03E05" w:rsidRPr="00856E17" w14:paraId="06C8730B" w14:textId="77777777" w:rsidTr="001266C5">
        <w:tc>
          <w:tcPr>
            <w:tcW w:w="988" w:type="dxa"/>
            <w:vAlign w:val="center"/>
          </w:tcPr>
          <w:p w14:paraId="656C0A14" w14:textId="16778B38" w:rsidR="00D03E05" w:rsidRDefault="00D03E05" w:rsidP="00D03E05">
            <w:pPr>
              <w:spacing w:line="25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2.1.23.</w:t>
            </w:r>
          </w:p>
          <w:p w14:paraId="4BA9C486" w14:textId="77777777" w:rsidR="00D03E05" w:rsidRDefault="00D03E05" w:rsidP="00D03E0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4AE52A3C" w14:textId="7CCB8704" w:rsidR="00D03E05" w:rsidRPr="0095336B" w:rsidRDefault="00D03E05" w:rsidP="00D03E05">
            <w:pPr>
              <w:rPr>
                <w:sz w:val="24"/>
                <w:szCs w:val="24"/>
              </w:rPr>
            </w:pPr>
            <w:r w:rsidRPr="0095336B">
              <w:rPr>
                <w:sz w:val="24"/>
                <w:szCs w:val="24"/>
              </w:rPr>
              <w:t>Aplinkos stebėjimas</w:t>
            </w:r>
          </w:p>
        </w:tc>
        <w:tc>
          <w:tcPr>
            <w:tcW w:w="5528" w:type="dxa"/>
          </w:tcPr>
          <w:p w14:paraId="7D28FAB4" w14:textId="741474C0" w:rsidR="006947E1" w:rsidRPr="003B247D" w:rsidRDefault="00D03E05" w:rsidP="006947E1">
            <w:pPr>
              <w:jc w:val="both"/>
              <w:rPr>
                <w:sz w:val="24"/>
                <w:szCs w:val="24"/>
              </w:rPr>
            </w:pPr>
            <w:r w:rsidRPr="0095336B">
              <w:rPr>
                <w:sz w:val="24"/>
                <w:szCs w:val="24"/>
              </w:rPr>
              <w:t>Įrenginys turi būti komplektuojamas</w:t>
            </w:r>
            <w:r w:rsidR="00A278FD">
              <w:rPr>
                <w:sz w:val="24"/>
                <w:szCs w:val="24"/>
              </w:rPr>
              <w:t xml:space="preserve"> su išoriniu</w:t>
            </w:r>
            <w:r w:rsidRPr="0095336B">
              <w:rPr>
                <w:sz w:val="24"/>
                <w:szCs w:val="24"/>
              </w:rPr>
              <w:t xml:space="preserve"> </w:t>
            </w:r>
            <w:r w:rsidR="00A278FD">
              <w:rPr>
                <w:sz w:val="24"/>
                <w:szCs w:val="24"/>
              </w:rPr>
              <w:t>temperatūros ir drėgmė</w:t>
            </w:r>
            <w:r w:rsidRPr="0095336B">
              <w:rPr>
                <w:sz w:val="24"/>
                <w:szCs w:val="24"/>
              </w:rPr>
              <w:t>s jutikliu.</w:t>
            </w:r>
            <w:r w:rsidR="001B2C42">
              <w:rPr>
                <w:sz w:val="24"/>
                <w:szCs w:val="24"/>
              </w:rPr>
              <w:t xml:space="preserve"> </w:t>
            </w:r>
            <w:r w:rsidR="005A174E">
              <w:rPr>
                <w:sz w:val="24"/>
                <w:szCs w:val="24"/>
              </w:rPr>
              <w:t xml:space="preserve">Jutiklio valdiklis </w:t>
            </w:r>
            <w:r w:rsidR="00474EBB">
              <w:rPr>
                <w:sz w:val="24"/>
                <w:szCs w:val="24"/>
              </w:rPr>
              <w:t>(</w:t>
            </w:r>
            <w:r w:rsidR="005A174E">
              <w:rPr>
                <w:sz w:val="24"/>
                <w:szCs w:val="24"/>
              </w:rPr>
              <w:t xml:space="preserve">integruotas </w:t>
            </w:r>
            <w:r w:rsidR="00FD05F6">
              <w:rPr>
                <w:sz w:val="24"/>
                <w:szCs w:val="24"/>
              </w:rPr>
              <w:t xml:space="preserve">į įrenginį arba </w:t>
            </w:r>
            <w:r w:rsidR="00652F3F">
              <w:rPr>
                <w:sz w:val="24"/>
                <w:szCs w:val="24"/>
              </w:rPr>
              <w:t>nepriklausomas išorinis</w:t>
            </w:r>
            <w:r w:rsidR="006947E1">
              <w:rPr>
                <w:sz w:val="24"/>
                <w:szCs w:val="24"/>
              </w:rPr>
              <w:t xml:space="preserve"> </w:t>
            </w:r>
            <w:r w:rsidR="00652F3F">
              <w:rPr>
                <w:sz w:val="24"/>
                <w:szCs w:val="24"/>
              </w:rPr>
              <w:t xml:space="preserve"> tinklo</w:t>
            </w:r>
            <w:r w:rsidR="006947E1">
              <w:rPr>
                <w:sz w:val="24"/>
                <w:szCs w:val="24"/>
              </w:rPr>
              <w:t xml:space="preserve"> įrenginys) </w:t>
            </w:r>
            <w:r w:rsidR="00135C8E">
              <w:rPr>
                <w:sz w:val="24"/>
                <w:szCs w:val="24"/>
              </w:rPr>
              <w:t>turi būti</w:t>
            </w:r>
            <w:r w:rsidR="006947E1" w:rsidRPr="17115028">
              <w:rPr>
                <w:sz w:val="24"/>
                <w:szCs w:val="24"/>
              </w:rPr>
              <w:t xml:space="preserve"> pasiekiamas protokolais: WWW, ModbusTCP, SNMP, SOAP, XML  per Ethernet jungtį.</w:t>
            </w:r>
          </w:p>
          <w:p w14:paraId="54922CAB" w14:textId="2826C5E6" w:rsidR="00D03E05" w:rsidRPr="0095336B" w:rsidRDefault="00652F3F" w:rsidP="00D03E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67AA1" w:rsidRPr="00856E17" w14:paraId="465F0A3F" w14:textId="77777777" w:rsidTr="001266C5">
        <w:tc>
          <w:tcPr>
            <w:tcW w:w="988" w:type="dxa"/>
            <w:vAlign w:val="center"/>
          </w:tcPr>
          <w:p w14:paraId="64975125" w14:textId="6B6DB154" w:rsidR="00367AA1" w:rsidRDefault="00D03E05" w:rsidP="005D58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2.1.24</w:t>
            </w:r>
            <w:r w:rsidR="009A7CC0">
              <w:rPr>
                <w:sz w:val="24"/>
                <w:szCs w:val="24"/>
                <w:lang w:val="en-US"/>
              </w:rPr>
              <w:t>.</w:t>
            </w:r>
          </w:p>
          <w:p w14:paraId="1B6CF5B0" w14:textId="77777777" w:rsidR="00820F0D" w:rsidRDefault="00820F0D" w:rsidP="005D5868">
            <w:pPr>
              <w:rPr>
                <w:sz w:val="24"/>
                <w:szCs w:val="24"/>
                <w:lang w:val="en-US"/>
              </w:rPr>
            </w:pPr>
          </w:p>
          <w:p w14:paraId="5CB5D7B1" w14:textId="4C16A2B6" w:rsidR="00820F0D" w:rsidRPr="00856E17" w:rsidRDefault="00820F0D" w:rsidP="005D58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4720925E" w14:textId="77777777" w:rsidR="00367AA1" w:rsidRPr="00856E17" w:rsidRDefault="00367AA1" w:rsidP="006C7164">
            <w:pPr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Valdymo programinės įrangos operacinė sistema</w:t>
            </w:r>
          </w:p>
        </w:tc>
        <w:tc>
          <w:tcPr>
            <w:tcW w:w="5528" w:type="dxa"/>
          </w:tcPr>
          <w:p w14:paraId="479BFDA9" w14:textId="277AFB1E" w:rsidR="00367AA1" w:rsidRPr="00856E17" w:rsidRDefault="00367AA1" w:rsidP="004950C2">
            <w:pPr>
              <w:jc w:val="both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Valdymo programinės įrangos operacinė sistema turi būti suderinama su</w:t>
            </w:r>
            <w:r w:rsidR="00E23305">
              <w:rPr>
                <w:sz w:val="24"/>
                <w:szCs w:val="24"/>
              </w:rPr>
              <w:t>:</w:t>
            </w:r>
            <w:r w:rsidRPr="00856E17">
              <w:rPr>
                <w:sz w:val="24"/>
                <w:szCs w:val="24"/>
              </w:rPr>
              <w:t xml:space="preserve"> </w:t>
            </w:r>
            <w:r w:rsidR="008812DB">
              <w:rPr>
                <w:sz w:val="24"/>
                <w:szCs w:val="24"/>
              </w:rPr>
              <w:t>„</w:t>
            </w:r>
            <w:r w:rsidR="00E85DD9">
              <w:rPr>
                <w:sz w:val="24"/>
                <w:szCs w:val="24"/>
              </w:rPr>
              <w:t>Windows Server 2019</w:t>
            </w:r>
            <w:r w:rsidR="008812DB">
              <w:rPr>
                <w:sz w:val="24"/>
                <w:szCs w:val="24"/>
              </w:rPr>
              <w:t>“</w:t>
            </w:r>
            <w:r w:rsidRPr="00856E17">
              <w:rPr>
                <w:sz w:val="24"/>
                <w:szCs w:val="24"/>
              </w:rPr>
              <w:t xml:space="preserve">, </w:t>
            </w:r>
            <w:r w:rsidR="008812DB">
              <w:rPr>
                <w:sz w:val="24"/>
                <w:szCs w:val="24"/>
              </w:rPr>
              <w:t>„VM</w:t>
            </w:r>
            <w:r w:rsidRPr="00856E17">
              <w:rPr>
                <w:sz w:val="24"/>
                <w:szCs w:val="24"/>
              </w:rPr>
              <w:t>ware Esxi</w:t>
            </w:r>
            <w:r w:rsidR="008812DB">
              <w:rPr>
                <w:sz w:val="24"/>
                <w:szCs w:val="24"/>
              </w:rPr>
              <w:t>“</w:t>
            </w:r>
            <w:r w:rsidRPr="00856E17">
              <w:rPr>
                <w:sz w:val="24"/>
                <w:szCs w:val="24"/>
              </w:rPr>
              <w:t xml:space="preserve">, </w:t>
            </w:r>
            <w:r w:rsidR="008812DB">
              <w:rPr>
                <w:sz w:val="24"/>
                <w:szCs w:val="24"/>
              </w:rPr>
              <w:t>„</w:t>
            </w:r>
            <w:r w:rsidRPr="00856E17">
              <w:rPr>
                <w:sz w:val="24"/>
                <w:szCs w:val="24"/>
              </w:rPr>
              <w:t>Red Hat Linux</w:t>
            </w:r>
            <w:r w:rsidR="008812DB">
              <w:rPr>
                <w:sz w:val="24"/>
                <w:szCs w:val="24"/>
              </w:rPr>
              <w:t>“</w:t>
            </w:r>
            <w:r w:rsidR="00E23305">
              <w:rPr>
                <w:sz w:val="24"/>
                <w:szCs w:val="24"/>
              </w:rPr>
              <w:t xml:space="preserve"> arba lygiavertėmis.</w:t>
            </w:r>
          </w:p>
        </w:tc>
      </w:tr>
      <w:tr w:rsidR="00367AA1" w:rsidRPr="00856E17" w14:paraId="36E0FEA5" w14:textId="77777777" w:rsidTr="001266C5">
        <w:tc>
          <w:tcPr>
            <w:tcW w:w="988" w:type="dxa"/>
            <w:vAlign w:val="center"/>
          </w:tcPr>
          <w:p w14:paraId="54E202C5" w14:textId="5C5A6484" w:rsidR="00367AA1" w:rsidRDefault="00D03E05" w:rsidP="005D58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2.1.25</w:t>
            </w:r>
            <w:r w:rsidR="009A7CC0">
              <w:rPr>
                <w:sz w:val="24"/>
                <w:szCs w:val="24"/>
                <w:lang w:val="en-US"/>
              </w:rPr>
              <w:t>.</w:t>
            </w:r>
          </w:p>
          <w:p w14:paraId="3BA8044C" w14:textId="77777777" w:rsidR="002242E7" w:rsidRDefault="002242E7" w:rsidP="005D5868">
            <w:pPr>
              <w:rPr>
                <w:sz w:val="24"/>
                <w:szCs w:val="24"/>
                <w:lang w:val="en-US"/>
              </w:rPr>
            </w:pPr>
          </w:p>
          <w:p w14:paraId="4718E229" w14:textId="3ADFED86" w:rsidR="002242E7" w:rsidRPr="00856E17" w:rsidRDefault="002242E7" w:rsidP="005D58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20A91F7B" w14:textId="77777777" w:rsidR="00367AA1" w:rsidRPr="00856E17" w:rsidRDefault="0002160B" w:rsidP="006C7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Įrenginio </w:t>
            </w:r>
            <w:r w:rsidR="00367AA1" w:rsidRPr="00856E17">
              <w:rPr>
                <w:sz w:val="24"/>
                <w:szCs w:val="24"/>
              </w:rPr>
              <w:t>centralizuotos valdymo įrangos papildomos funkcijos</w:t>
            </w:r>
          </w:p>
        </w:tc>
        <w:tc>
          <w:tcPr>
            <w:tcW w:w="5528" w:type="dxa"/>
          </w:tcPr>
          <w:p w14:paraId="13296A55" w14:textId="77777777" w:rsidR="00367AA1" w:rsidRPr="00856E17" w:rsidRDefault="00367AA1" w:rsidP="004950C2">
            <w:pPr>
              <w:jc w:val="both"/>
              <w:rPr>
                <w:sz w:val="24"/>
                <w:szCs w:val="24"/>
              </w:rPr>
            </w:pPr>
            <w:r w:rsidRPr="00856E17">
              <w:rPr>
                <w:sz w:val="24"/>
                <w:szCs w:val="24"/>
              </w:rPr>
              <w:t>Informavimas elektroniniu paštu apie pasirinktus įvykius.</w:t>
            </w:r>
          </w:p>
        </w:tc>
      </w:tr>
      <w:tr w:rsidR="005510C4" w:rsidRPr="00856E17" w14:paraId="4A8A6A36" w14:textId="77777777" w:rsidTr="001266C5">
        <w:tc>
          <w:tcPr>
            <w:tcW w:w="988" w:type="dxa"/>
            <w:vAlign w:val="center"/>
          </w:tcPr>
          <w:p w14:paraId="081B3F55" w14:textId="1447F146" w:rsidR="005510C4" w:rsidRDefault="00D03E05" w:rsidP="005D58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2.1.26</w:t>
            </w:r>
            <w:r w:rsidR="009A7CC0">
              <w:rPr>
                <w:sz w:val="24"/>
                <w:szCs w:val="24"/>
                <w:lang w:val="en-US"/>
              </w:rPr>
              <w:t>.</w:t>
            </w:r>
          </w:p>
          <w:p w14:paraId="78887815" w14:textId="77777777" w:rsidR="00FB6526" w:rsidRDefault="00FB6526" w:rsidP="005D5868">
            <w:pPr>
              <w:rPr>
                <w:sz w:val="24"/>
                <w:szCs w:val="24"/>
                <w:lang w:val="en-US"/>
              </w:rPr>
            </w:pPr>
          </w:p>
          <w:p w14:paraId="3C8C74C7" w14:textId="24D0C7AA" w:rsidR="00FB6526" w:rsidRDefault="00FB6526" w:rsidP="005D58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7368BF58" w14:textId="59912B8C" w:rsidR="005510C4" w:rsidRDefault="005510C4" w:rsidP="006C7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Surinkimo reikalavimai</w:t>
            </w:r>
          </w:p>
        </w:tc>
        <w:tc>
          <w:tcPr>
            <w:tcW w:w="5528" w:type="dxa"/>
          </w:tcPr>
          <w:p w14:paraId="148196FF" w14:textId="77746679" w:rsidR="005510C4" w:rsidRPr="00856E17" w:rsidRDefault="005510C4" w:rsidP="004950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Siūlomi įrenginiai turi būti nauji ir ankščiau nenaudoti</w:t>
            </w:r>
            <w:r w:rsidRPr="009B4E36">
              <w:rPr>
                <w:sz w:val="24"/>
                <w:szCs w:val="24"/>
              </w:rPr>
              <w:t xml:space="preserve">, gamykliškai atnaujinti (angl. </w:t>
            </w:r>
            <w:r w:rsidRPr="0054257C">
              <w:rPr>
                <w:i/>
                <w:sz w:val="24"/>
                <w:szCs w:val="24"/>
              </w:rPr>
              <w:t>R</w:t>
            </w:r>
            <w:r w:rsidRPr="001E664A">
              <w:rPr>
                <w:i/>
                <w:sz w:val="24"/>
                <w:szCs w:val="24"/>
              </w:rPr>
              <w:t>enewed, Refurbished, R</w:t>
            </w:r>
            <w:r w:rsidRPr="0054257C">
              <w:rPr>
                <w:i/>
                <w:sz w:val="24"/>
                <w:szCs w:val="24"/>
              </w:rPr>
              <w:t>emarketed</w:t>
            </w:r>
            <w:r w:rsidRPr="009B4E36">
              <w:rPr>
                <w:sz w:val="24"/>
                <w:szCs w:val="24"/>
              </w:rPr>
              <w:t>) komponentai neleistini.</w:t>
            </w:r>
          </w:p>
        </w:tc>
      </w:tr>
      <w:tr w:rsidR="00367AA1" w:rsidRPr="00856E17" w14:paraId="7259E986" w14:textId="77777777" w:rsidTr="001266C5">
        <w:tc>
          <w:tcPr>
            <w:tcW w:w="988" w:type="dxa"/>
            <w:vAlign w:val="center"/>
          </w:tcPr>
          <w:p w14:paraId="47CD70B5" w14:textId="231223FD" w:rsidR="004B06EB" w:rsidRDefault="00D03E05" w:rsidP="005D5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2.1.27</w:t>
            </w:r>
            <w:r w:rsidR="009A7CC0">
              <w:rPr>
                <w:sz w:val="24"/>
                <w:szCs w:val="24"/>
              </w:rPr>
              <w:t>.</w:t>
            </w:r>
          </w:p>
          <w:p w14:paraId="3F95E160" w14:textId="77777777" w:rsidR="00FB6526" w:rsidRPr="005510C4" w:rsidRDefault="00FB6526" w:rsidP="005D5868">
            <w:pPr>
              <w:rPr>
                <w:sz w:val="24"/>
                <w:szCs w:val="24"/>
              </w:rPr>
            </w:pPr>
          </w:p>
          <w:p w14:paraId="023A6DCD" w14:textId="77777777" w:rsidR="004B06EB" w:rsidRPr="005510C4" w:rsidRDefault="004B06EB" w:rsidP="005D586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51A5E05" w14:textId="064CBF54" w:rsidR="00367AA1" w:rsidRDefault="00E01BBF" w:rsidP="006C7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Gamintojo g</w:t>
            </w:r>
            <w:r w:rsidR="00367AA1" w:rsidRPr="00856E17">
              <w:rPr>
                <w:sz w:val="24"/>
                <w:szCs w:val="24"/>
              </w:rPr>
              <w:t>arantija</w:t>
            </w:r>
          </w:p>
          <w:p w14:paraId="2259C2A2" w14:textId="24FEB6C5" w:rsidR="001266C5" w:rsidRPr="00856E17" w:rsidRDefault="001266C5" w:rsidP="006C7164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688C8868" w14:textId="3FC979AD" w:rsidR="00367AA1" w:rsidRPr="00A046FA" w:rsidRDefault="009C4F99" w:rsidP="005B18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Įrenginiams </w:t>
            </w:r>
            <w:r w:rsidR="005B184C">
              <w:rPr>
                <w:sz w:val="24"/>
                <w:szCs w:val="24"/>
              </w:rPr>
              <w:t xml:space="preserve">ir jų baterijoms </w:t>
            </w:r>
            <w:r>
              <w:rPr>
                <w:sz w:val="24"/>
                <w:szCs w:val="24"/>
              </w:rPr>
              <w:t xml:space="preserve">turi būti </w:t>
            </w:r>
            <w:r w:rsidR="00E01BBF">
              <w:rPr>
                <w:sz w:val="24"/>
                <w:szCs w:val="24"/>
              </w:rPr>
              <w:t>užtikrinta</w:t>
            </w:r>
            <w:r>
              <w:rPr>
                <w:sz w:val="24"/>
                <w:szCs w:val="24"/>
              </w:rPr>
              <w:t xml:space="preserve"> n</w:t>
            </w:r>
            <w:r w:rsidR="00367AA1" w:rsidRPr="00856E17">
              <w:rPr>
                <w:sz w:val="24"/>
                <w:szCs w:val="24"/>
              </w:rPr>
              <w:t xml:space="preserve">e </w:t>
            </w:r>
            <w:r w:rsidR="004950C2">
              <w:rPr>
                <w:sz w:val="24"/>
                <w:szCs w:val="24"/>
              </w:rPr>
              <w:t>trumpesnė nei</w:t>
            </w:r>
            <w:r w:rsidR="00367AA1" w:rsidRPr="00856E17">
              <w:rPr>
                <w:sz w:val="24"/>
                <w:szCs w:val="24"/>
              </w:rPr>
              <w:t xml:space="preserve"> </w:t>
            </w:r>
            <w:r w:rsidR="00991253" w:rsidRPr="00991253">
              <w:rPr>
                <w:sz w:val="24"/>
                <w:szCs w:val="24"/>
              </w:rPr>
              <w:t>24</w:t>
            </w:r>
            <w:r w:rsidR="00E01BBF">
              <w:rPr>
                <w:sz w:val="24"/>
                <w:szCs w:val="24"/>
              </w:rPr>
              <w:t xml:space="preserve"> (</w:t>
            </w:r>
            <w:r w:rsidR="00991253">
              <w:rPr>
                <w:sz w:val="24"/>
                <w:szCs w:val="24"/>
              </w:rPr>
              <w:t>dvidešimt keturių</w:t>
            </w:r>
            <w:r w:rsidR="00E01BBF">
              <w:rPr>
                <w:sz w:val="24"/>
                <w:szCs w:val="24"/>
              </w:rPr>
              <w:t>) mėnesių</w:t>
            </w:r>
            <w:r w:rsidR="00367AA1" w:rsidRPr="00856E17">
              <w:rPr>
                <w:sz w:val="24"/>
                <w:szCs w:val="24"/>
              </w:rPr>
              <w:t xml:space="preserve"> </w:t>
            </w:r>
            <w:r w:rsidR="005B184C">
              <w:rPr>
                <w:sz w:val="24"/>
                <w:szCs w:val="24"/>
              </w:rPr>
              <w:t>gamintojo garantija.</w:t>
            </w:r>
          </w:p>
        </w:tc>
      </w:tr>
      <w:tr w:rsidR="00F85FCA" w:rsidRPr="00856E17" w14:paraId="2174F1A5" w14:textId="77777777" w:rsidTr="001266C5">
        <w:tc>
          <w:tcPr>
            <w:tcW w:w="988" w:type="dxa"/>
            <w:vAlign w:val="center"/>
          </w:tcPr>
          <w:p w14:paraId="226FE17F" w14:textId="5EE51817" w:rsidR="002242E7" w:rsidRDefault="00D03E05" w:rsidP="005D58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2.1.28</w:t>
            </w:r>
            <w:r w:rsidR="009A7CC0">
              <w:rPr>
                <w:sz w:val="24"/>
                <w:szCs w:val="24"/>
                <w:lang w:val="en-US"/>
              </w:rPr>
              <w:t>.</w:t>
            </w:r>
          </w:p>
          <w:p w14:paraId="05734ADC" w14:textId="31333F9E" w:rsidR="002242E7" w:rsidRDefault="002242E7" w:rsidP="005D5868">
            <w:pPr>
              <w:rPr>
                <w:sz w:val="24"/>
                <w:szCs w:val="24"/>
                <w:lang w:val="en-US"/>
              </w:rPr>
            </w:pPr>
          </w:p>
          <w:p w14:paraId="161C5842" w14:textId="77777777" w:rsidR="002242E7" w:rsidRDefault="002242E7" w:rsidP="005D5868">
            <w:pPr>
              <w:rPr>
                <w:sz w:val="24"/>
                <w:szCs w:val="24"/>
                <w:lang w:val="en-US"/>
              </w:rPr>
            </w:pPr>
          </w:p>
          <w:p w14:paraId="7E60C185" w14:textId="54D2FDA1" w:rsidR="00F85FCA" w:rsidRDefault="00F85FCA" w:rsidP="005D5868">
            <w:pPr>
              <w:spacing w:after="240"/>
              <w:rPr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02B16A1E" w14:textId="77777777" w:rsidR="00F85FCA" w:rsidRPr="00F85FCA" w:rsidRDefault="00F85FCA" w:rsidP="006C7164">
            <w:pPr>
              <w:rPr>
                <w:sz w:val="24"/>
                <w:szCs w:val="24"/>
              </w:rPr>
            </w:pPr>
            <w:r w:rsidRPr="00F85FCA">
              <w:rPr>
                <w:sz w:val="24"/>
                <w:szCs w:val="24"/>
              </w:rPr>
              <w:t>Sertifikatai</w:t>
            </w:r>
          </w:p>
        </w:tc>
        <w:tc>
          <w:tcPr>
            <w:tcW w:w="5528" w:type="dxa"/>
          </w:tcPr>
          <w:p w14:paraId="6B40AB75" w14:textId="77777777" w:rsidR="00EE7A95" w:rsidRDefault="00F85FCA" w:rsidP="00AC3941">
            <w:pPr>
              <w:jc w:val="both"/>
              <w:rPr>
                <w:sz w:val="24"/>
                <w:szCs w:val="24"/>
              </w:rPr>
            </w:pPr>
            <w:r w:rsidRPr="00F85FCA">
              <w:rPr>
                <w:sz w:val="24"/>
                <w:szCs w:val="24"/>
              </w:rPr>
              <w:t>CE; IEC/EN 62040-1; IEC/EN 62040-2; IEC/EN 62040-3</w:t>
            </w:r>
            <w:r>
              <w:rPr>
                <w:sz w:val="24"/>
                <w:szCs w:val="24"/>
              </w:rPr>
              <w:t xml:space="preserve"> arba lygiaverčiai.</w:t>
            </w:r>
          </w:p>
          <w:p w14:paraId="2AFE87F1" w14:textId="77777777" w:rsidR="00EE7A95" w:rsidRPr="00EE7A95" w:rsidRDefault="00EE7A95" w:rsidP="00EE7A95">
            <w:pPr>
              <w:jc w:val="both"/>
              <w:rPr>
                <w:b/>
                <w:i/>
                <w:sz w:val="24"/>
                <w:szCs w:val="24"/>
              </w:rPr>
            </w:pPr>
            <w:r w:rsidRPr="00EE7A95">
              <w:rPr>
                <w:b/>
                <w:i/>
                <w:sz w:val="24"/>
                <w:szCs w:val="24"/>
              </w:rPr>
              <w:t>Atitiktį reikalavimams įrodantys dokumentai:</w:t>
            </w:r>
          </w:p>
          <w:p w14:paraId="01B1EA44" w14:textId="77777777" w:rsidR="00EE7A95" w:rsidRPr="00EE7A95" w:rsidRDefault="00EE7A95" w:rsidP="00AC3941">
            <w:pPr>
              <w:jc w:val="both"/>
              <w:rPr>
                <w:i/>
                <w:sz w:val="24"/>
                <w:szCs w:val="24"/>
              </w:rPr>
            </w:pPr>
            <w:r w:rsidRPr="00EE7A95">
              <w:rPr>
                <w:i/>
                <w:sz w:val="24"/>
                <w:szCs w:val="24"/>
              </w:rPr>
              <w:t>Nuoroda į informaciją, esančią gamintojo tinklalapyje arba kiti lygiaverčiai įrodymai.</w:t>
            </w:r>
          </w:p>
        </w:tc>
      </w:tr>
    </w:tbl>
    <w:p w14:paraId="72F49D43" w14:textId="77777777" w:rsidR="005164B4" w:rsidRPr="004E2DF9" w:rsidRDefault="005164B4" w:rsidP="004E2DF9">
      <w:pPr>
        <w:jc w:val="center"/>
      </w:pPr>
    </w:p>
    <w:sectPr w:rsidR="005164B4" w:rsidRPr="004E2DF9" w:rsidSect="00DB5587">
      <w:headerReference w:type="default" r:id="rId10"/>
      <w:pgSz w:w="11907" w:h="16840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F3CF2" w14:textId="77777777" w:rsidR="00381496" w:rsidRDefault="00381496" w:rsidP="00DB5587">
      <w:r>
        <w:separator/>
      </w:r>
    </w:p>
  </w:endnote>
  <w:endnote w:type="continuationSeparator" w:id="0">
    <w:p w14:paraId="4DD92B0B" w14:textId="77777777" w:rsidR="00381496" w:rsidRDefault="00381496" w:rsidP="00DB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3E04D" w14:textId="77777777" w:rsidR="00381496" w:rsidRDefault="00381496" w:rsidP="00DB5587">
      <w:r>
        <w:separator/>
      </w:r>
    </w:p>
  </w:footnote>
  <w:footnote w:type="continuationSeparator" w:id="0">
    <w:p w14:paraId="577D75BF" w14:textId="77777777" w:rsidR="00381496" w:rsidRDefault="00381496" w:rsidP="00DB5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99239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003924" w14:textId="1097ACB1" w:rsidR="00DB5587" w:rsidRDefault="00DB558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78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9D0EAB" w14:textId="77777777" w:rsidR="00DB5587" w:rsidRDefault="00DB55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E7164"/>
    <w:multiLevelType w:val="multilevel"/>
    <w:tmpl w:val="BFC43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40967BA2"/>
    <w:multiLevelType w:val="hybridMultilevel"/>
    <w:tmpl w:val="89C4A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84D75"/>
    <w:multiLevelType w:val="multilevel"/>
    <w:tmpl w:val="A440DC6E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num w:numId="1" w16cid:durableId="2028405845">
    <w:abstractNumId w:val="0"/>
  </w:num>
  <w:num w:numId="2" w16cid:durableId="1404336252">
    <w:abstractNumId w:val="2"/>
  </w:num>
  <w:num w:numId="3" w16cid:durableId="1790126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EE6"/>
    <w:rsid w:val="000035BB"/>
    <w:rsid w:val="00005EE6"/>
    <w:rsid w:val="0002160B"/>
    <w:rsid w:val="00061619"/>
    <w:rsid w:val="000A17B9"/>
    <w:rsid w:val="000D61FE"/>
    <w:rsid w:val="000E7C62"/>
    <w:rsid w:val="001023C0"/>
    <w:rsid w:val="00112721"/>
    <w:rsid w:val="001266C5"/>
    <w:rsid w:val="001268F5"/>
    <w:rsid w:val="00135C8E"/>
    <w:rsid w:val="001956BE"/>
    <w:rsid w:val="001A24B0"/>
    <w:rsid w:val="001B1EEA"/>
    <w:rsid w:val="001B2C42"/>
    <w:rsid w:val="001E0C35"/>
    <w:rsid w:val="001E66A4"/>
    <w:rsid w:val="001F42C8"/>
    <w:rsid w:val="002242E7"/>
    <w:rsid w:val="00231DB6"/>
    <w:rsid w:val="00242F9B"/>
    <w:rsid w:val="002540E6"/>
    <w:rsid w:val="00281B86"/>
    <w:rsid w:val="002C3D54"/>
    <w:rsid w:val="002E1EDE"/>
    <w:rsid w:val="003123DE"/>
    <w:rsid w:val="003160E5"/>
    <w:rsid w:val="003225E0"/>
    <w:rsid w:val="003323C7"/>
    <w:rsid w:val="00363980"/>
    <w:rsid w:val="00367AA1"/>
    <w:rsid w:val="00381496"/>
    <w:rsid w:val="003C602B"/>
    <w:rsid w:val="004207CA"/>
    <w:rsid w:val="00435CEA"/>
    <w:rsid w:val="00474EBB"/>
    <w:rsid w:val="004950C2"/>
    <w:rsid w:val="004B06EB"/>
    <w:rsid w:val="004B196F"/>
    <w:rsid w:val="004E2DF9"/>
    <w:rsid w:val="004F4D46"/>
    <w:rsid w:val="005164B4"/>
    <w:rsid w:val="005452D0"/>
    <w:rsid w:val="005510C4"/>
    <w:rsid w:val="00563842"/>
    <w:rsid w:val="00585575"/>
    <w:rsid w:val="005865EC"/>
    <w:rsid w:val="00596424"/>
    <w:rsid w:val="005A174E"/>
    <w:rsid w:val="005B184C"/>
    <w:rsid w:val="005D5868"/>
    <w:rsid w:val="005D6FC5"/>
    <w:rsid w:val="0062654E"/>
    <w:rsid w:val="00652F3F"/>
    <w:rsid w:val="0066290B"/>
    <w:rsid w:val="00664AC6"/>
    <w:rsid w:val="006874D1"/>
    <w:rsid w:val="006947E1"/>
    <w:rsid w:val="00694AF5"/>
    <w:rsid w:val="006A6F5B"/>
    <w:rsid w:val="006C7164"/>
    <w:rsid w:val="006E3311"/>
    <w:rsid w:val="00707B87"/>
    <w:rsid w:val="007143AD"/>
    <w:rsid w:val="00717B6B"/>
    <w:rsid w:val="007206BF"/>
    <w:rsid w:val="00784397"/>
    <w:rsid w:val="007B00ED"/>
    <w:rsid w:val="007B35BF"/>
    <w:rsid w:val="00820F0D"/>
    <w:rsid w:val="00856E17"/>
    <w:rsid w:val="008812DB"/>
    <w:rsid w:val="0089496F"/>
    <w:rsid w:val="008F68E5"/>
    <w:rsid w:val="009126C8"/>
    <w:rsid w:val="00935301"/>
    <w:rsid w:val="0095336B"/>
    <w:rsid w:val="00987D83"/>
    <w:rsid w:val="00991253"/>
    <w:rsid w:val="0099139A"/>
    <w:rsid w:val="00992259"/>
    <w:rsid w:val="009A46F7"/>
    <w:rsid w:val="009A7CC0"/>
    <w:rsid w:val="009C4F99"/>
    <w:rsid w:val="009F4472"/>
    <w:rsid w:val="00A046FA"/>
    <w:rsid w:val="00A16400"/>
    <w:rsid w:val="00A262E5"/>
    <w:rsid w:val="00A278FD"/>
    <w:rsid w:val="00A35451"/>
    <w:rsid w:val="00A363E1"/>
    <w:rsid w:val="00A5173E"/>
    <w:rsid w:val="00A84DD2"/>
    <w:rsid w:val="00AC3941"/>
    <w:rsid w:val="00AC6DE8"/>
    <w:rsid w:val="00AE18F8"/>
    <w:rsid w:val="00AF7309"/>
    <w:rsid w:val="00B02530"/>
    <w:rsid w:val="00B07D74"/>
    <w:rsid w:val="00B14380"/>
    <w:rsid w:val="00B30A72"/>
    <w:rsid w:val="00B36553"/>
    <w:rsid w:val="00BB5A60"/>
    <w:rsid w:val="00BC5D45"/>
    <w:rsid w:val="00BD5582"/>
    <w:rsid w:val="00BF60BE"/>
    <w:rsid w:val="00C15287"/>
    <w:rsid w:val="00C50F66"/>
    <w:rsid w:val="00C52078"/>
    <w:rsid w:val="00C7711B"/>
    <w:rsid w:val="00C77EA6"/>
    <w:rsid w:val="00C85114"/>
    <w:rsid w:val="00C9593F"/>
    <w:rsid w:val="00CE2013"/>
    <w:rsid w:val="00D03E05"/>
    <w:rsid w:val="00D14176"/>
    <w:rsid w:val="00D44BC2"/>
    <w:rsid w:val="00D46443"/>
    <w:rsid w:val="00DA4E27"/>
    <w:rsid w:val="00DA579B"/>
    <w:rsid w:val="00DB45E4"/>
    <w:rsid w:val="00DB5258"/>
    <w:rsid w:val="00DB5587"/>
    <w:rsid w:val="00DE440A"/>
    <w:rsid w:val="00DF176F"/>
    <w:rsid w:val="00E01BBF"/>
    <w:rsid w:val="00E23305"/>
    <w:rsid w:val="00E43937"/>
    <w:rsid w:val="00E85DD9"/>
    <w:rsid w:val="00EA4ED7"/>
    <w:rsid w:val="00ED2CDF"/>
    <w:rsid w:val="00EE4C33"/>
    <w:rsid w:val="00EE7A95"/>
    <w:rsid w:val="00F10AEA"/>
    <w:rsid w:val="00F85FCA"/>
    <w:rsid w:val="00FB6526"/>
    <w:rsid w:val="00FD05F6"/>
    <w:rsid w:val="00FD7C61"/>
    <w:rsid w:val="00FE1B60"/>
    <w:rsid w:val="00FE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75549"/>
  <w15:chartTrackingRefBased/>
  <w15:docId w15:val="{42D484A5-FDBD-4375-B1AB-5B87723B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64AC6"/>
    <w:pPr>
      <w:spacing w:after="200" w:line="276" w:lineRule="auto"/>
      <w:ind w:left="720"/>
      <w:contextualSpacing/>
    </w:pPr>
    <w:rPr>
      <w:rFonts w:eastAsia="Calibri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F99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Standard">
    <w:name w:val="Standard"/>
    <w:basedOn w:val="Normal"/>
    <w:rsid w:val="00E23305"/>
    <w:pPr>
      <w:autoSpaceDN w:val="0"/>
    </w:pPr>
    <w:rPr>
      <w:rFonts w:eastAsiaTheme="minorHAnsi"/>
      <w:sz w:val="24"/>
      <w:szCs w:val="24"/>
      <w:lang w:eastAsia="zh-CN"/>
    </w:rPr>
  </w:style>
  <w:style w:type="paragraph" w:customStyle="1" w:styleId="Default">
    <w:name w:val="Default"/>
    <w:rsid w:val="00C959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table" w:styleId="TableGrid">
    <w:name w:val="Table Grid"/>
    <w:basedOn w:val="TableNormal"/>
    <w:uiPriority w:val="59"/>
    <w:rsid w:val="003C6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5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587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DB5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587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04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6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6FA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6FA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D14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46CC54CF4B5EB4F84735D686AC7385D" ma:contentTypeVersion="13" ma:contentTypeDescription="Kurkite naują dokumentą." ma:contentTypeScope="" ma:versionID="11c9204286d84350a441be5f549d39c1">
  <xsd:schema xmlns:xsd="http://www.w3.org/2001/XMLSchema" xmlns:xs="http://www.w3.org/2001/XMLSchema" xmlns:p="http://schemas.microsoft.com/office/2006/metadata/properties" xmlns:ns2="1231ae29-ec60-498d-8f61-cf447a54d293" xmlns:ns3="d4774ed4-9159-4920-b5d8-f8eee9d95620" targetNamespace="http://schemas.microsoft.com/office/2006/metadata/properties" ma:root="true" ma:fieldsID="e23a447f1d3a2375e5d186c518ea1a4f" ns2:_="" ns3:_="">
    <xsd:import namespace="1231ae29-ec60-498d-8f61-cf447a54d293"/>
    <xsd:import namespace="d4774ed4-9159-4920-b5d8-f8eee9d95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ae29-ec60-498d-8f61-cf447a54d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4ed4-9159-4920-b5d8-f8eee9d956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c04e0d-bac1-4d93-bd88-79e0b771b294}" ma:internalName="TaxCatchAll" ma:showField="CatchAllData" ma:web="d4774ed4-9159-4920-b5d8-f8eee9d95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74ed4-9159-4920-b5d8-f8eee9d95620" xsi:nil="true"/>
    <lcf76f155ced4ddcb4097134ff3c332f xmlns="1231ae29-ec60-498d-8f61-cf447a54d29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71B105-77B6-4484-936D-5C4548875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1ae29-ec60-498d-8f61-cf447a54d293"/>
    <ds:schemaRef ds:uri="d4774ed4-9159-4920-b5d8-f8eee9d95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56382F-C063-420F-A8AD-53F30A15C5C6}">
  <ds:schemaRefs>
    <ds:schemaRef ds:uri="http://schemas.microsoft.com/office/2006/metadata/properties"/>
    <ds:schemaRef ds:uri="http://schemas.microsoft.com/office/infopath/2007/PartnerControls"/>
    <ds:schemaRef ds:uri="d4774ed4-9159-4920-b5d8-f8eee9d95620"/>
    <ds:schemaRef ds:uri="1231ae29-ec60-498d-8f61-cf447a54d293"/>
  </ds:schemaRefs>
</ds:datastoreItem>
</file>

<file path=customXml/itemProps3.xml><?xml version="1.0" encoding="utf-8"?>
<ds:datastoreItem xmlns:ds="http://schemas.openxmlformats.org/officeDocument/2006/customXml" ds:itemID="{CF9FB794-3218-41EA-BB6A-09EA74A85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4925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Jaraitė</dc:creator>
  <cp:lastModifiedBy>Živilė Matačiūnienė</cp:lastModifiedBy>
  <cp:revision>2</cp:revision>
  <cp:lastPrinted>2019-03-18T12:49:00Z</cp:lastPrinted>
  <dcterms:created xsi:type="dcterms:W3CDTF">2025-11-06T13:17:00Z</dcterms:created>
  <dcterms:modified xsi:type="dcterms:W3CDTF">2025-11-06T13:17:00Z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0x010100546CC54CF4B5EB4F84735D686AC7385D</vt:lpwstr>
  </property>
  <property fmtid="{D5CDD505-2E9C-101B-9397-08002B2CF9AE}" pid="3" name="MediaServiceImageTags">
    <vt:lpwstr/>
  </property>
</Properties>
</file>