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w:t>
                </w:r>
                <w:proofErr w:type="gramStart"/>
                <w:r>
                  <w:rPr>
                    <w:sz w:val="18"/>
                    <w:szCs w:val="18"/>
                  </w:rPr>
                  <w:t>vandenys“</w:t>
                </w:r>
                <w:proofErr w:type="gramEnd"/>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05E1F990" w14:textId="77777777" w:rsidR="005E4EA4" w:rsidRPr="004B0DA4" w:rsidRDefault="005E4EA4" w:rsidP="001A1D2A">
          <w:pPr>
            <w:spacing w:after="120" w:line="20" w:lineRule="atLeast"/>
            <w:contextualSpacing/>
            <w:jc w:val="center"/>
            <w:rPr>
              <w:rFonts w:ascii="Times New Roman" w:hAnsi="Times New Roman" w:cs="Times New Roman"/>
              <w:b/>
              <w:bCs/>
              <w:sz w:val="24"/>
              <w:szCs w:val="24"/>
              <w:lang w:val="lt-LT"/>
            </w:rPr>
          </w:pPr>
        </w:p>
        <w:p w14:paraId="294FCB28" w14:textId="2402D8A2" w:rsidR="001A1D2A" w:rsidRPr="004B0DA4" w:rsidRDefault="00B01D35" w:rsidP="001A1D2A">
          <w:pPr>
            <w:spacing w:after="120" w:line="20" w:lineRule="atLeast"/>
            <w:contextualSpacing/>
            <w:jc w:val="center"/>
            <w:rPr>
              <w:rFonts w:ascii="Times New Roman" w:hAnsi="Times New Roman" w:cs="Times New Roman"/>
              <w:b/>
              <w:bCs/>
              <w:caps/>
              <w:sz w:val="24"/>
              <w:szCs w:val="24"/>
              <w:lang w:val="lt-LT"/>
            </w:rPr>
          </w:pPr>
          <w:r w:rsidRPr="00FC4064">
            <w:rPr>
              <w:rFonts w:ascii="Times New Roman" w:hAnsi="Times New Roman" w:cs="Times New Roman"/>
              <w:b/>
              <w:bCs/>
              <w:caps/>
              <w:sz w:val="24"/>
              <w:szCs w:val="24"/>
            </w:rPr>
            <w:t>„</w:t>
          </w:r>
          <w:r w:rsidRPr="008E4C6C">
            <w:rPr>
              <w:rFonts w:ascii="Times New Roman" w:hAnsi="Times New Roman" w:cs="Times New Roman"/>
              <w:b/>
              <w:bCs/>
              <w:caps/>
              <w:sz w:val="24"/>
              <w:szCs w:val="24"/>
            </w:rPr>
            <w:t xml:space="preserve">Nuotekų valymo įrenginių </w:t>
          </w:r>
          <w:r>
            <w:rPr>
              <w:rFonts w:ascii="Times New Roman" w:hAnsi="Times New Roman" w:cs="Times New Roman"/>
              <w:b/>
              <w:bCs/>
              <w:caps/>
              <w:sz w:val="24"/>
              <w:szCs w:val="24"/>
            </w:rPr>
            <w:t>rekonstrukcijos</w:t>
          </w:r>
          <w:r w:rsidRPr="008E4C6C">
            <w:rPr>
              <w:rFonts w:ascii="Times New Roman" w:hAnsi="Times New Roman" w:cs="Times New Roman"/>
              <w:b/>
              <w:bCs/>
              <w:caps/>
              <w:sz w:val="24"/>
              <w:szCs w:val="24"/>
            </w:rPr>
            <w:t xml:space="preserve"> darbai </w:t>
          </w:r>
          <w:r>
            <w:rPr>
              <w:rFonts w:ascii="Times New Roman" w:hAnsi="Times New Roman" w:cs="Times New Roman"/>
              <w:b/>
              <w:bCs/>
              <w:caps/>
              <w:sz w:val="24"/>
              <w:szCs w:val="24"/>
            </w:rPr>
            <w:t xml:space="preserve">SMILGŲ </w:t>
          </w:r>
          <w:proofErr w:type="gramStart"/>
          <w:r>
            <w:rPr>
              <w:rFonts w:ascii="Times New Roman" w:hAnsi="Times New Roman" w:cs="Times New Roman"/>
              <w:b/>
              <w:bCs/>
              <w:caps/>
              <w:sz w:val="24"/>
              <w:szCs w:val="24"/>
            </w:rPr>
            <w:t>K</w:t>
          </w:r>
          <w:r w:rsidRPr="008E4C6C">
            <w:rPr>
              <w:rFonts w:ascii="Times New Roman" w:hAnsi="Times New Roman" w:cs="Times New Roman"/>
              <w:b/>
              <w:bCs/>
              <w:caps/>
              <w:sz w:val="24"/>
              <w:szCs w:val="24"/>
            </w:rPr>
            <w:t>.</w:t>
          </w:r>
          <w:r>
            <w:rPr>
              <w:rFonts w:ascii="Times New Roman" w:hAnsi="Times New Roman" w:cs="Times New Roman"/>
              <w:b/>
              <w:bCs/>
              <w:caps/>
              <w:sz w:val="24"/>
              <w:szCs w:val="24"/>
            </w:rPr>
            <w:t>“</w:t>
          </w:r>
          <w:proofErr w:type="gramEnd"/>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B7F4" w14:textId="77777777" w:rsidR="002628CD" w:rsidRDefault="002628CD" w:rsidP="00184B8C">
      <w:pPr>
        <w:spacing w:after="0" w:line="240" w:lineRule="auto"/>
      </w:pPr>
      <w:r>
        <w:separator/>
      </w:r>
    </w:p>
  </w:endnote>
  <w:endnote w:type="continuationSeparator" w:id="0">
    <w:p w14:paraId="73D0E6B2" w14:textId="77777777" w:rsidR="002628CD" w:rsidRDefault="002628CD" w:rsidP="00184B8C">
      <w:pPr>
        <w:spacing w:after="0" w:line="240" w:lineRule="auto"/>
      </w:pPr>
      <w:r>
        <w:continuationSeparator/>
      </w:r>
    </w:p>
  </w:endnote>
  <w:endnote w:type="continuationNotice" w:id="1">
    <w:p w14:paraId="1DC4560D" w14:textId="77777777" w:rsidR="002628CD" w:rsidRDefault="00262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144F6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45C6">
          <w:rPr>
            <w:noProof/>
            <w:lang w:val="lt-LT"/>
          </w:rPr>
          <w:t>1</w:t>
        </w:r>
        <w:r w:rsidR="006345C6">
          <w:rPr>
            <w:noProof/>
            <w:lang w:val="lt-LT"/>
          </w:rPr>
          <w:t>6</w:t>
        </w:r>
        <w:r w:rsidRPr="002218AC">
          <w:rPr>
            <w:noProof/>
            <w:lang w:val="lt-LT"/>
          </w:rPr>
          <w:fldChar w:fldCharType="end"/>
        </w:r>
      </w:p>
    </w:sdtContent>
  </w:sdt>
  <w:p w14:paraId="42D67ABC" w14:textId="023EDB0D"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03</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E438" w14:textId="77777777" w:rsidR="002628CD" w:rsidRDefault="002628CD" w:rsidP="00184B8C">
      <w:pPr>
        <w:spacing w:after="0" w:line="240" w:lineRule="auto"/>
      </w:pPr>
      <w:r>
        <w:separator/>
      </w:r>
    </w:p>
  </w:footnote>
  <w:footnote w:type="continuationSeparator" w:id="0">
    <w:p w14:paraId="0D00D276" w14:textId="77777777" w:rsidR="002628CD" w:rsidRDefault="002628CD" w:rsidP="00184B8C">
      <w:pPr>
        <w:spacing w:after="0" w:line="240" w:lineRule="auto"/>
      </w:pPr>
      <w:r>
        <w:continuationSeparator/>
      </w:r>
    </w:p>
  </w:footnote>
  <w:footnote w:type="continuationNotice" w:id="1">
    <w:p w14:paraId="781369FB" w14:textId="77777777" w:rsidR="002628CD" w:rsidRDefault="002628C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5404851">
    <w:abstractNumId w:val="65"/>
  </w:num>
  <w:num w:numId="2" w16cid:durableId="850333419">
    <w:abstractNumId w:val="27"/>
  </w:num>
  <w:num w:numId="3" w16cid:durableId="231084423">
    <w:abstractNumId w:val="19"/>
  </w:num>
  <w:num w:numId="4" w16cid:durableId="172885336">
    <w:abstractNumId w:val="40"/>
  </w:num>
  <w:num w:numId="5" w16cid:durableId="1638099445">
    <w:abstractNumId w:val="14"/>
  </w:num>
  <w:num w:numId="6" w16cid:durableId="312956605">
    <w:abstractNumId w:val="4"/>
  </w:num>
  <w:num w:numId="7" w16cid:durableId="1492405667">
    <w:abstractNumId w:val="44"/>
  </w:num>
  <w:num w:numId="8" w16cid:durableId="1449861072">
    <w:abstractNumId w:val="33"/>
  </w:num>
  <w:num w:numId="9" w16cid:durableId="1708019910">
    <w:abstractNumId w:val="31"/>
  </w:num>
  <w:num w:numId="10" w16cid:durableId="1224218497">
    <w:abstractNumId w:val="38"/>
  </w:num>
  <w:num w:numId="11" w16cid:durableId="1407730261">
    <w:abstractNumId w:val="15"/>
  </w:num>
  <w:num w:numId="12" w16cid:durableId="1665086476">
    <w:abstractNumId w:val="56"/>
  </w:num>
  <w:num w:numId="13" w16cid:durableId="363016767">
    <w:abstractNumId w:val="28"/>
  </w:num>
  <w:num w:numId="14" w16cid:durableId="1669214919">
    <w:abstractNumId w:val="1"/>
  </w:num>
  <w:num w:numId="15" w16cid:durableId="325715176">
    <w:abstractNumId w:val="7"/>
  </w:num>
  <w:num w:numId="16" w16cid:durableId="1231621427">
    <w:abstractNumId w:val="46"/>
  </w:num>
  <w:num w:numId="17" w16cid:durableId="1679386786">
    <w:abstractNumId w:val="61"/>
  </w:num>
  <w:num w:numId="18" w16cid:durableId="1416635444">
    <w:abstractNumId w:val="54"/>
  </w:num>
  <w:num w:numId="19" w16cid:durableId="1669017405">
    <w:abstractNumId w:val="6"/>
  </w:num>
  <w:num w:numId="20" w16cid:durableId="2088571998">
    <w:abstractNumId w:val="50"/>
  </w:num>
  <w:num w:numId="21" w16cid:durableId="1451706309">
    <w:abstractNumId w:val="43"/>
  </w:num>
  <w:num w:numId="22" w16cid:durableId="1617983355">
    <w:abstractNumId w:val="21"/>
  </w:num>
  <w:num w:numId="23" w16cid:durableId="1565212831">
    <w:abstractNumId w:val="18"/>
  </w:num>
  <w:num w:numId="24" w16cid:durableId="2002082693">
    <w:abstractNumId w:val="45"/>
  </w:num>
  <w:num w:numId="25" w16cid:durableId="86465278">
    <w:abstractNumId w:val="49"/>
  </w:num>
  <w:num w:numId="26" w16cid:durableId="393628519">
    <w:abstractNumId w:val="68"/>
  </w:num>
  <w:num w:numId="27" w16cid:durableId="375855577">
    <w:abstractNumId w:val="51"/>
  </w:num>
  <w:num w:numId="28" w16cid:durableId="981272666">
    <w:abstractNumId w:val="58"/>
  </w:num>
  <w:num w:numId="29" w16cid:durableId="209079507">
    <w:abstractNumId w:val="13"/>
  </w:num>
  <w:num w:numId="30" w16cid:durableId="693187543">
    <w:abstractNumId w:val="70"/>
  </w:num>
  <w:num w:numId="31" w16cid:durableId="1989820886">
    <w:abstractNumId w:val="20"/>
  </w:num>
  <w:num w:numId="32" w16cid:durableId="1292444571">
    <w:abstractNumId w:val="60"/>
  </w:num>
  <w:num w:numId="33" w16cid:durableId="1107852325">
    <w:abstractNumId w:val="36"/>
  </w:num>
  <w:num w:numId="34" w16cid:durableId="23559972">
    <w:abstractNumId w:val="67"/>
  </w:num>
  <w:num w:numId="35" w16cid:durableId="1389065237">
    <w:abstractNumId w:val="17"/>
  </w:num>
  <w:num w:numId="36" w16cid:durableId="846871899">
    <w:abstractNumId w:val="24"/>
  </w:num>
  <w:num w:numId="37" w16cid:durableId="2084334952">
    <w:abstractNumId w:val="25"/>
  </w:num>
  <w:num w:numId="38" w16cid:durableId="1909607071">
    <w:abstractNumId w:val="2"/>
  </w:num>
  <w:num w:numId="39" w16cid:durableId="239675634">
    <w:abstractNumId w:val="5"/>
  </w:num>
  <w:num w:numId="40" w16cid:durableId="977614097">
    <w:abstractNumId w:val="8"/>
  </w:num>
  <w:num w:numId="41" w16cid:durableId="733312150">
    <w:abstractNumId w:val="55"/>
  </w:num>
  <w:num w:numId="42" w16cid:durableId="1047951610">
    <w:abstractNumId w:val="32"/>
  </w:num>
  <w:num w:numId="43" w16cid:durableId="237634932">
    <w:abstractNumId w:val="9"/>
  </w:num>
  <w:num w:numId="44" w16cid:durableId="1755662844">
    <w:abstractNumId w:val="52"/>
  </w:num>
  <w:num w:numId="45" w16cid:durableId="1132096921">
    <w:abstractNumId w:val="0"/>
  </w:num>
  <w:num w:numId="46" w16cid:durableId="1017926082">
    <w:abstractNumId w:val="29"/>
  </w:num>
  <w:num w:numId="47" w16cid:durableId="729883363">
    <w:abstractNumId w:val="63"/>
  </w:num>
  <w:num w:numId="48" w16cid:durableId="915437653">
    <w:abstractNumId w:val="16"/>
  </w:num>
  <w:num w:numId="49" w16cid:durableId="1485926409">
    <w:abstractNumId w:val="10"/>
  </w:num>
  <w:num w:numId="50" w16cid:durableId="230433434">
    <w:abstractNumId w:val="66"/>
  </w:num>
  <w:num w:numId="51" w16cid:durableId="688992956">
    <w:abstractNumId w:val="39"/>
  </w:num>
  <w:num w:numId="52" w16cid:durableId="2048948160">
    <w:abstractNumId w:val="69"/>
  </w:num>
  <w:num w:numId="53" w16cid:durableId="770861024">
    <w:abstractNumId w:val="3"/>
  </w:num>
  <w:num w:numId="54" w16cid:durableId="414789240">
    <w:abstractNumId w:val="62"/>
  </w:num>
  <w:num w:numId="55" w16cid:durableId="861670165">
    <w:abstractNumId w:val="22"/>
  </w:num>
  <w:num w:numId="56" w16cid:durableId="409696443">
    <w:abstractNumId w:val="57"/>
  </w:num>
  <w:num w:numId="57" w16cid:durableId="1411662040">
    <w:abstractNumId w:val="72"/>
  </w:num>
  <w:num w:numId="58" w16cid:durableId="1623343383">
    <w:abstractNumId w:val="53"/>
  </w:num>
  <w:num w:numId="59" w16cid:durableId="515846157">
    <w:abstractNumId w:val="59"/>
  </w:num>
  <w:num w:numId="60" w16cid:durableId="2032796589">
    <w:abstractNumId w:val="11"/>
  </w:num>
  <w:num w:numId="61" w16cid:durableId="1486048424">
    <w:abstractNumId w:val="42"/>
  </w:num>
  <w:num w:numId="62" w16cid:durableId="861087871">
    <w:abstractNumId w:val="71"/>
  </w:num>
  <w:num w:numId="63" w16cid:durableId="1582444375">
    <w:abstractNumId w:val="41"/>
  </w:num>
  <w:num w:numId="64" w16cid:durableId="1065032182">
    <w:abstractNumId w:val="12"/>
  </w:num>
  <w:num w:numId="65" w16cid:durableId="1035082491">
    <w:abstractNumId w:val="30"/>
  </w:num>
  <w:num w:numId="66" w16cid:durableId="41754939">
    <w:abstractNumId w:val="34"/>
  </w:num>
  <w:num w:numId="67" w16cid:durableId="798189051">
    <w:abstractNumId w:val="23"/>
  </w:num>
  <w:num w:numId="68" w16cid:durableId="2097087965">
    <w:abstractNumId w:val="48"/>
  </w:num>
  <w:num w:numId="69" w16cid:durableId="1407724180">
    <w:abstractNumId w:val="26"/>
  </w:num>
  <w:num w:numId="70" w16cid:durableId="1231958843">
    <w:abstractNumId w:val="35"/>
  </w:num>
  <w:num w:numId="71" w16cid:durableId="1173453146">
    <w:abstractNumId w:val="37"/>
  </w:num>
  <w:num w:numId="72" w16cid:durableId="1341935425">
    <w:abstractNumId w:val="47"/>
  </w:num>
  <w:num w:numId="73" w16cid:durableId="3739706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8CD"/>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EA4"/>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F08"/>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C68"/>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D35"/>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40600</Words>
  <Characters>23143</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6</cp:revision>
  <dcterms:created xsi:type="dcterms:W3CDTF">2025-09-11T08:20:00Z</dcterms:created>
  <dcterms:modified xsi:type="dcterms:W3CDTF">2025-09-11T08:20:00Z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