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18F395CC"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C42B53">
            <w:rPr>
              <w:rFonts w:ascii="Times New Roman" w:hAnsi="Times New Roman" w:cs="Times New Roman"/>
              <w:sz w:val="24"/>
              <w:szCs w:val="24"/>
            </w:rPr>
            <w:t>1</w:t>
          </w:r>
          <w:r w:rsidR="002D1C97">
            <w:rPr>
              <w:rFonts w:ascii="Times New Roman" w:hAnsi="Times New Roman" w:cs="Times New Roman"/>
              <w:sz w:val="24"/>
              <w:szCs w:val="24"/>
            </w:rPr>
            <w:t>1</w:t>
          </w:r>
          <w:r w:rsidR="005425C3">
            <w:rPr>
              <w:rFonts w:ascii="Times New Roman" w:hAnsi="Times New Roman" w:cs="Times New Roman"/>
              <w:sz w:val="24"/>
              <w:szCs w:val="24"/>
            </w:rPr>
            <w:t>-</w:t>
          </w:r>
          <w:r w:rsidR="002717CB">
            <w:rPr>
              <w:rFonts w:ascii="Times New Roman" w:hAnsi="Times New Roman" w:cs="Times New Roman"/>
              <w:sz w:val="24"/>
              <w:szCs w:val="24"/>
            </w:rPr>
            <w:t>07</w:t>
          </w:r>
        </w:p>
        <w:p w14:paraId="7FE13943" w14:textId="48C8D125"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425C3">
            <w:rPr>
              <w:rFonts w:ascii="Times New Roman" w:hAnsi="Times New Roman" w:cs="Times New Roman"/>
              <w:sz w:val="24"/>
              <w:szCs w:val="24"/>
            </w:rPr>
            <w:t>-</w:t>
          </w:r>
          <w:r w:rsidR="002717CB">
            <w:rPr>
              <w:rFonts w:ascii="Times New Roman" w:hAnsi="Times New Roman" w:cs="Times New Roman"/>
              <w:sz w:val="24"/>
              <w:szCs w:val="24"/>
            </w:rPr>
            <w:t>58</w:t>
          </w:r>
          <w:bookmarkStart w:id="2" w:name="_GoBack"/>
          <w:bookmarkEnd w:id="2"/>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073F97BE"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45A3F" w:rsidRPr="00245A3F">
            <w:rPr>
              <w:rFonts w:ascii="Times New Roman Bold" w:hAnsi="Times New Roman Bold" w:cs="Times New Roman"/>
              <w:b/>
              <w:bCs/>
              <w:caps/>
              <w:color w:val="2F5496" w:themeColor="accent1" w:themeShade="BF"/>
              <w:sz w:val="24"/>
              <w:szCs w:val="24"/>
            </w:rPr>
            <w:t>STAŽUOTĖ LENKIJOJE IR ČEKIJOJE „ĮSTAIGOS POKYČIŲ VALDYMO STRATEGIJOS</w:t>
          </w:r>
          <w:r w:rsidRPr="005B2AC1">
            <w:rPr>
              <w:rFonts w:ascii="Times New Roman Bold" w:hAnsi="Times New Roman Bold" w:cs="Times New Roman"/>
              <w:b/>
              <w:bCs/>
              <w:caps/>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7777777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471157" w:rsidRPr="005B2AC1">
            <w:rPr>
              <w:rFonts w:ascii="Times New Roman" w:hAnsi="Times New Roman" w:cs="Times New Roman"/>
              <w:b/>
              <w:bCs/>
              <w:sz w:val="24"/>
              <w:szCs w:val="24"/>
            </w:rPr>
            <w:t>1</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6EF6BE5F"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w:t>
      </w:r>
      <w:r w:rsidR="005425C3" w:rsidRPr="005425C3">
        <w:rPr>
          <w:rFonts w:ascii="Times New Roman" w:hAnsi="Times New Roman" w:cs="Times New Roman"/>
          <w:sz w:val="22"/>
          <w:szCs w:val="24"/>
        </w:rPr>
        <w:t xml:space="preserve">. Pirkimas vykdomas vadovaujantis Lietuvos Respublikos aplinkos ministro 2011 m. birželio 28 d. įsakymo Nr. D1-508 „Dėl </w:t>
      </w:r>
      <w:r w:rsidR="005425C3" w:rsidRPr="008B219B">
        <w:rPr>
          <w:rFonts w:ascii="Times New Roman" w:hAnsi="Times New Roman" w:cs="Times New Roman"/>
          <w:sz w:val="22"/>
          <w:szCs w:val="24"/>
        </w:rPr>
        <w:t>Aplinkos apsaugos kriterijų taikymo, vykdant žaliuosius pirkimus, tvarkos aprašo patvirtinimo“ 4.</w:t>
      </w:r>
      <w:r w:rsidR="002D1C97" w:rsidRPr="008B219B">
        <w:rPr>
          <w:rFonts w:ascii="Times New Roman" w:hAnsi="Times New Roman" w:cs="Times New Roman"/>
          <w:sz w:val="22"/>
          <w:szCs w:val="24"/>
        </w:rPr>
        <w:t>4.</w:t>
      </w:r>
      <w:r w:rsidR="00DF76BA">
        <w:rPr>
          <w:rFonts w:ascii="Times New Roman" w:hAnsi="Times New Roman" w:cs="Times New Roman"/>
          <w:sz w:val="22"/>
          <w:szCs w:val="24"/>
        </w:rPr>
        <w:t>3</w:t>
      </w:r>
      <w:r w:rsidR="002D1C97" w:rsidRPr="008B219B">
        <w:rPr>
          <w:rFonts w:ascii="Times New Roman" w:hAnsi="Times New Roman" w:cs="Times New Roman"/>
          <w:sz w:val="22"/>
          <w:szCs w:val="24"/>
        </w:rPr>
        <w:t xml:space="preserve"> papunkčiu</w:t>
      </w:r>
      <w:r w:rsidR="005E62F0" w:rsidRPr="008B219B">
        <w:rPr>
          <w:rFonts w:ascii="Times New Roman" w:hAnsi="Times New Roman" w:cs="Times New Roman"/>
          <w:sz w:val="22"/>
          <w:szCs w:val="24"/>
        </w:rPr>
        <w:t xml:space="preserve">. </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448FD44E"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245A3F" w:rsidRPr="00245A3F">
        <w:rPr>
          <w:rFonts w:ascii="Times New Roman" w:hAnsi="Times New Roman" w:cs="Times New Roman"/>
          <w:b/>
          <w:bCs/>
          <w:color w:val="4472C4" w:themeColor="accent1"/>
          <w:sz w:val="22"/>
          <w:szCs w:val="24"/>
        </w:rPr>
        <w:t>STAŽUOTĖS LENKIJOJE IR ČEKIJOJE „ĮSTAIGOS POKYČIŲ VALDYMO STRATEGIJOS“ ORGANIZAVIMO PASLAUG</w:t>
      </w:r>
      <w:r w:rsidR="00245A3F">
        <w:rPr>
          <w:rFonts w:ascii="Times New Roman" w:hAnsi="Times New Roman" w:cs="Times New Roman"/>
          <w:b/>
          <w:bCs/>
          <w:color w:val="4472C4" w:themeColor="accent1"/>
          <w:sz w:val="22"/>
          <w:szCs w:val="24"/>
        </w:rPr>
        <w:t>OS</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lastRenderedPageBreak/>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lastRenderedPageBreak/>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2717CB"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2717CB"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2717CB"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2717CB"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2717CB"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5" w:name="_Hlk180485872"/>
      <w:bookmarkStart w:id="56" w:name="_Hlk174967943"/>
      <w:bookmarkStart w:id="57"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5"/>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8"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6"/>
        <w:bookmarkEnd w:id="58"/>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9"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4A12B59B" w:rsidR="002D1C97" w:rsidRPr="00A3041D" w:rsidRDefault="002D1C97" w:rsidP="002D1C97">
            <w:pPr>
              <w:tabs>
                <w:tab w:val="left" w:pos="697"/>
                <w:tab w:val="left" w:pos="981"/>
                <w:tab w:val="left" w:pos="1560"/>
              </w:tabs>
              <w:ind w:firstLine="346"/>
              <w:rPr>
                <w:rFonts w:eastAsia="Calibri"/>
                <w:sz w:val="22"/>
                <w:szCs w:val="22"/>
              </w:rPr>
            </w:pPr>
            <w:bookmarkStart w:id="60"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sutarčių savo jėgomis yra tinkamai įvykdęs grupinių kvalifikacijos tobulinimo</w:t>
            </w:r>
            <w:r w:rsidR="00DF76BA">
              <w:rPr>
                <w:rFonts w:eastAsia="Calibri"/>
                <w:sz w:val="22"/>
                <w:szCs w:val="22"/>
              </w:rPr>
              <w:t xml:space="preserve"> ir/ar panašių stažuočių</w:t>
            </w:r>
            <w:r w:rsidRPr="00A3041D">
              <w:rPr>
                <w:rFonts w:eastAsia="Calibri"/>
                <w:sz w:val="22"/>
                <w:szCs w:val="22"/>
              </w:rPr>
              <w:t xml:space="preserve">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60"/>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lastRenderedPageBreak/>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2D1C97">
            <w:pPr>
              <w:keepNext/>
              <w:tabs>
                <w:tab w:val="left" w:pos="1560"/>
              </w:tabs>
              <w:ind w:firstLine="508"/>
              <w:rPr>
                <w:rFonts w:eastAsia="Calibri"/>
                <w:b/>
                <w:bCs/>
                <w:sz w:val="22"/>
                <w:szCs w:val="22"/>
              </w:rPr>
            </w:pPr>
            <w:r w:rsidRPr="00A3041D">
              <w:rPr>
                <w:rFonts w:eastAsia="Calibri"/>
                <w:b/>
                <w:bCs/>
                <w:sz w:val="22"/>
                <w:szCs w:val="22"/>
              </w:rPr>
              <w:lastRenderedPageBreak/>
              <w:t>Reikalavimo atitikčiai pagrįsti pateikiama:</w:t>
            </w:r>
          </w:p>
          <w:p w14:paraId="66C9DD0C"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1. pagrindinių per pastaruosius 3 metus tinkamai suteiktų reikalavime nurodytų paslaugų </w:t>
            </w:r>
            <w:r w:rsidRPr="00A3041D">
              <w:rPr>
                <w:rFonts w:eastAsia="Calibri"/>
                <w:i/>
                <w:iCs/>
                <w:sz w:val="22"/>
                <w:szCs w:val="22"/>
              </w:rPr>
              <w:t>sąrašas</w:t>
            </w:r>
            <w:r w:rsidRPr="00A3041D">
              <w:rPr>
                <w:rFonts w:eastAsia="Calibri"/>
                <w:sz w:val="22"/>
                <w:szCs w:val="22"/>
              </w:rPr>
              <w:t xml:space="preserve"> (užpildytas Specialiųjų Pirkimo sąlygų 4 priedo priedas „Tiekėjo suteiktų paslaugų sąrašas“), kuriame nurodytos suteiktų paslaugų aprašymas, bendros sumos, datos ir paslaugų gavėjai (tiek viešieji, tiek privatieji), jų kontaktiniai duomenys;</w:t>
            </w:r>
          </w:p>
          <w:p w14:paraId="69320227"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2D1C97">
            <w:pPr>
              <w:keepNext/>
              <w:tabs>
                <w:tab w:val="left" w:pos="1560"/>
              </w:tabs>
              <w:ind w:firstLine="265"/>
              <w:rPr>
                <w:rFonts w:eastAsia="Calibri"/>
                <w:b/>
                <w:i/>
                <w:iCs/>
                <w:sz w:val="22"/>
                <w:szCs w:val="22"/>
              </w:rPr>
            </w:pPr>
          </w:p>
          <w:p w14:paraId="3D45A941" w14:textId="77777777" w:rsidR="002D1C97" w:rsidRPr="00A3041D" w:rsidRDefault="002D1C97" w:rsidP="002D1C97">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2D1C97">
            <w:pPr>
              <w:keepNext/>
              <w:tabs>
                <w:tab w:val="left" w:pos="1560"/>
              </w:tabs>
              <w:ind w:firstLine="265"/>
              <w:rPr>
                <w:rFonts w:eastAsia="Calibri"/>
                <w:bCs/>
                <w:sz w:val="22"/>
                <w:szCs w:val="22"/>
              </w:rPr>
            </w:pPr>
            <w:r w:rsidRPr="00A3041D">
              <w:rPr>
                <w:rFonts w:eastAsia="Calibri"/>
                <w:bCs/>
                <w:sz w:val="22"/>
                <w:szCs w:val="22"/>
              </w:rPr>
              <w:t xml:space="preserve">Perkančioji organizacija, siekdama įsitikinti tiekėjo pateikta informacija, pasilieka teisę be </w:t>
            </w:r>
            <w:r w:rsidRPr="00A3041D">
              <w:rPr>
                <w:rFonts w:eastAsia="Calibri"/>
                <w:bCs/>
                <w:sz w:val="22"/>
                <w:szCs w:val="22"/>
              </w:rPr>
              <w:lastRenderedPageBreak/>
              <w:t>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7"/>
      <w:bookmarkEnd w:id="59"/>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2CA1860D" w14:textId="77777777" w:rsidR="007E1E5B" w:rsidRPr="00582407" w:rsidRDefault="007E1E5B" w:rsidP="007E1E5B">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4BA060DC" w14:textId="77777777" w:rsidR="007E1E5B" w:rsidRPr="00582407" w:rsidRDefault="007E1E5B" w:rsidP="007E1E5B">
      <w:pPr>
        <w:jc w:val="center"/>
        <w:rPr>
          <w:rFonts w:cstheme="minorHAnsi"/>
          <w:smallCaps/>
          <w:sz w:val="22"/>
          <w:szCs w:val="22"/>
        </w:rPr>
      </w:pPr>
      <w:r w:rsidRPr="00582407">
        <w:rPr>
          <w:rFonts w:cstheme="minorHAnsi"/>
          <w:smallCaps/>
          <w:sz w:val="22"/>
          <w:szCs w:val="22"/>
        </w:rPr>
        <w:t>__________</w:t>
      </w:r>
    </w:p>
    <w:p w14:paraId="08852258" w14:textId="77777777" w:rsidR="008B219B" w:rsidRPr="008B219B" w:rsidRDefault="008B219B" w:rsidP="008B219B">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36D1B6D2" w14:textId="62B0C457" w:rsidR="00C56067" w:rsidRPr="00C56067" w:rsidRDefault="00C56067" w:rsidP="00C56067">
      <w:pPr>
        <w:jc w:val="center"/>
        <w:rPr>
          <w:rFonts w:cstheme="minorHAnsi"/>
          <w:color w:val="7030A0"/>
        </w:rPr>
      </w:pP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0" w:name="_Ref39484039"/>
      <w:bookmarkStart w:id="71" w:name="_Ref40278562"/>
      <w:bookmarkStart w:id="72"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0"/>
      <w:bookmarkEnd w:id="71"/>
      <w:bookmarkEnd w:id="72"/>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3" w:name="_Ref39586171"/>
      <w:bookmarkStart w:id="74" w:name="_Ref39673580"/>
      <w:bookmarkStart w:id="75" w:name="_Ref39674283"/>
      <w:bookmarkStart w:id="76" w:name="_Toc126333948"/>
      <w:bookmarkStart w:id="77"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3"/>
      <w:bookmarkEnd w:id="74"/>
      <w:bookmarkEnd w:id="75"/>
      <w:bookmarkEnd w:id="76"/>
    </w:p>
    <w:bookmarkEnd w:id="77"/>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8" w:name="_Ref38539939"/>
      <w:bookmarkStart w:id="79" w:name="_Ref38541068"/>
      <w:bookmarkStart w:id="80" w:name="_Ref38885053"/>
      <w:bookmarkStart w:id="81" w:name="_Ref38899023"/>
      <w:bookmarkStart w:id="82"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8"/>
      <w:bookmarkEnd w:id="79"/>
      <w:bookmarkEnd w:id="80"/>
      <w:bookmarkEnd w:id="81"/>
      <w:bookmarkEnd w:id="82"/>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A1442B" w:rsidRDefault="00A1442B" w:rsidP="00D05666">
      <w:r>
        <w:separator/>
      </w:r>
    </w:p>
  </w:endnote>
  <w:endnote w:type="continuationSeparator" w:id="0">
    <w:p w14:paraId="4D1AE977" w14:textId="77777777" w:rsidR="00A1442B" w:rsidRDefault="00A1442B" w:rsidP="00D05666">
      <w:r>
        <w:continuationSeparator/>
      </w:r>
    </w:p>
  </w:endnote>
  <w:endnote w:type="continuationNotice" w:id="1">
    <w:p w14:paraId="40CB39EE" w14:textId="77777777" w:rsidR="00A1442B" w:rsidRDefault="00A14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4E54E5D1" w14:textId="77777777" w:rsidR="00A1442B" w:rsidRDefault="00A144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A1442B" w:rsidRDefault="00A1442B">
    <w:pPr>
      <w:pStyle w:val="Porat"/>
      <w:jc w:val="right"/>
    </w:pPr>
  </w:p>
  <w:p w14:paraId="396A24C3" w14:textId="77777777" w:rsidR="00A1442B" w:rsidRDefault="00A144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5ED5526F" w14:textId="77777777" w:rsidR="00A1442B" w:rsidRDefault="00A1442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504F0DDD" w14:textId="77777777" w:rsidR="00A1442B" w:rsidRPr="00591FD2" w:rsidRDefault="00A1442B"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A1442B" w:rsidRDefault="00A1442B" w:rsidP="00D05666">
      <w:r>
        <w:separator/>
      </w:r>
    </w:p>
  </w:footnote>
  <w:footnote w:type="continuationSeparator" w:id="0">
    <w:p w14:paraId="45C1BBE6" w14:textId="77777777" w:rsidR="00A1442B" w:rsidRDefault="00A1442B" w:rsidP="00D05666">
      <w:r>
        <w:continuationSeparator/>
      </w:r>
    </w:p>
  </w:footnote>
  <w:footnote w:type="continuationNotice" w:id="1">
    <w:p w14:paraId="555FF320" w14:textId="77777777" w:rsidR="00A1442B" w:rsidRDefault="00A1442B">
      <w:pPr>
        <w:spacing w:after="0" w:line="240" w:lineRule="auto"/>
      </w:pPr>
    </w:p>
  </w:footnote>
  <w:footnote w:id="2">
    <w:p w14:paraId="0EB1F923" w14:textId="77777777" w:rsidR="00A1442B" w:rsidRPr="001620D3" w:rsidRDefault="00A1442B" w:rsidP="00B40726">
      <w:pPr>
        <w:pStyle w:val="Puslapioinaostekstas"/>
        <w:spacing w:after="0" w:line="240" w:lineRule="auto"/>
        <w:jc w:val="both"/>
        <w:rPr>
          <w:i/>
          <w:iCs/>
        </w:rPr>
      </w:pPr>
    </w:p>
  </w:footnote>
  <w:footnote w:id="3">
    <w:p w14:paraId="5CAF59DA" w14:textId="77777777" w:rsidR="00A1442B" w:rsidRPr="001620D3" w:rsidRDefault="00A1442B"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A1442B" w:rsidRPr="001620D3" w:rsidRDefault="00A1442B"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A1442B" w:rsidRDefault="00A1442B"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A1442B" w:rsidRPr="001620D3" w:rsidRDefault="00A1442B"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A1442B" w:rsidRPr="001620D3" w:rsidRDefault="00A1442B"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A1442B" w:rsidRDefault="00A1442B"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A1442B" w:rsidRPr="001620D3" w:rsidRDefault="00A1442B"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A1442B" w:rsidRPr="001620D3" w:rsidRDefault="00A1442B"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A1442B" w:rsidRDefault="00A1442B"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A1442B" w:rsidRDefault="00A1442B">
    <w:pPr>
      <w:pStyle w:val="Antrats"/>
      <w:jc w:val="right"/>
    </w:pPr>
  </w:p>
  <w:p w14:paraId="76D5EC66" w14:textId="77777777" w:rsidR="00A1442B" w:rsidRDefault="00A144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A3F"/>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CB"/>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5B"/>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42B"/>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6BA"/>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C564BB2-AB87-4ED3-ABD5-0B852CBC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26062</Words>
  <Characters>14856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2023-09-29T11:36:00Z</cp:lastPrinted>
  <dcterms:created xsi:type="dcterms:W3CDTF">2025-11-07T09:24:00Z</dcterms:created>
  <dcterms:modified xsi:type="dcterms:W3CDTF">2025-11-07T09:29:00Z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