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1D30887"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Priedas Nr. 2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4E6DC5E1"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732AD9">
        <w:rPr>
          <w:rFonts w:ascii="Times New Roman" w:eastAsia="Times New Roman" w:hAnsi="Times New Roman" w:cs="Times New Roman"/>
          <w:kern w:val="0"/>
          <w:sz w:val="24"/>
          <w:szCs w:val="24"/>
          <w:lang w:eastAsia="lt-LT"/>
          <w14:ligatures w14:val="none"/>
        </w:rPr>
        <w:t xml:space="preserve">5 </w:t>
      </w:r>
      <w:r w:rsidRPr="00BC1698">
        <w:rPr>
          <w:rFonts w:ascii="Times New Roman" w:eastAsia="Times New Roman" w:hAnsi="Times New Roman" w:cs="Times New Roman"/>
          <w:kern w:val="0"/>
          <w:sz w:val="24"/>
          <w:szCs w:val="24"/>
          <w:lang w:eastAsia="lt-LT"/>
          <w14:ligatures w14:val="none"/>
        </w:rPr>
        <w:t xml:space="preserve">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Rašės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077E1001"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2.6. Avansinis mokėjimas nebus vykdomas. </w:t>
      </w: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lastRenderedPageBreak/>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055172DB"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724E52">
        <w:rPr>
          <w:rFonts w:ascii="Times New Roman" w:eastAsia="Arial" w:hAnsi="Times New Roman" w:cs="Times New Roman"/>
          <w:bCs/>
          <w:color w:val="000000"/>
          <w:kern w:val="0"/>
          <w:sz w:val="24"/>
          <w:szCs w:val="24"/>
          <w:lang w:eastAsia="lt-LT" w:bidi="lt-LT"/>
          <w14:ligatures w14:val="none"/>
        </w:rPr>
        <w:t>2</w:t>
      </w:r>
      <w:r w:rsidRPr="00BC1698">
        <w:rPr>
          <w:rFonts w:ascii="Times New Roman" w:eastAsia="Arial" w:hAnsi="Times New Roman" w:cs="Times New Roman"/>
          <w:bCs/>
          <w:color w:val="000000"/>
          <w:kern w:val="0"/>
          <w:sz w:val="24"/>
          <w:szCs w:val="24"/>
          <w:lang w:eastAsia="lt-LT" w:bidi="lt-LT"/>
          <w14:ligatures w14:val="none"/>
        </w:rPr>
        <w:t xml:space="preserve"> mėn.</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7429E35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 Rangovas atsako Užsakovui už nukrypimus nuo normatyvinių dokumentų bei šios sutarties reikalavimų ir tokiu atveju Užsakovas turi teisę reikalauti iš Rangovo:</w:t>
      </w:r>
    </w:p>
    <w:p w14:paraId="06029F2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6.3.1.1. neatlygintinai pašalinti trūkumus per Užsakovo nustatytą terminą;</w:t>
      </w:r>
    </w:p>
    <w:p w14:paraId="2D9F5C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6.3.1.2. Rangovas, laiku neatlikęs darbų ar nepašalinęs defektų, moka Užsakovui 0,05% sutartyje numatytos kainos dydžio delspinigius už kiekvieną dieną bei atlygina kitus Užsakovo patirtus nuostolius, kurių neatlygina nustatytos netesybos;</w:t>
      </w:r>
    </w:p>
    <w:p w14:paraId="55AB8398"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r w:rsidRPr="00BC1698">
        <w:rPr>
          <w:rFonts w:ascii="Times New Roman" w:eastAsia="Times New Roman" w:hAnsi="Times New Roman" w:cs="Times New Roman"/>
          <w:i/>
          <w:iCs/>
          <w:color w:val="000000"/>
          <w:kern w:val="0"/>
          <w:sz w:val="24"/>
          <w:szCs w:val="24"/>
          <w:lang w:eastAsia="lt-LT"/>
          <w14:ligatures w14:val="none"/>
        </w:rPr>
        <w:t>inter</w:t>
      </w:r>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lastRenderedPageBreak/>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Šalys(-is)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 xml:space="preserve">Utenoje, butų ir kitų patalpų </w:t>
      </w:r>
      <w:r w:rsidRPr="00BC1698">
        <w:rPr>
          <w:rFonts w:ascii="Times New Roman" w:eastAsia="Times New Roman" w:hAnsi="Times New Roman" w:cs="Times New Roman"/>
          <w:b/>
          <w:color w:val="000000"/>
          <w:kern w:val="0"/>
          <w:sz w:val="24"/>
          <w:szCs w:val="24"/>
          <w:lang w:eastAsia="lt-LT" w:bidi="lt-LT"/>
          <w14:ligatures w14:val="none"/>
        </w:rPr>
        <w:lastRenderedPageBreak/>
        <w:t>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Adresas: Rašės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19E3" w14:textId="77777777" w:rsidR="00FF5712" w:rsidRDefault="00FF5712">
      <w:pPr>
        <w:spacing w:after="0" w:line="240" w:lineRule="auto"/>
      </w:pPr>
      <w:r>
        <w:separator/>
      </w:r>
    </w:p>
  </w:endnote>
  <w:endnote w:type="continuationSeparator" w:id="0">
    <w:p w14:paraId="37DB51CE" w14:textId="77777777" w:rsidR="00FF5712" w:rsidRDefault="00FF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52ED" w14:textId="77777777" w:rsidR="00FF5712" w:rsidRDefault="00FF5712">
      <w:pPr>
        <w:spacing w:after="0" w:line="240" w:lineRule="auto"/>
      </w:pPr>
      <w:r>
        <w:separator/>
      </w:r>
    </w:p>
  </w:footnote>
  <w:footnote w:type="continuationSeparator" w:id="0">
    <w:p w14:paraId="278362AD" w14:textId="77777777" w:rsidR="00FF5712" w:rsidRDefault="00FF5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5"/>
  </w:num>
  <w:num w:numId="4" w16cid:durableId="340819727">
    <w:abstractNumId w:val="2"/>
  </w:num>
  <w:num w:numId="5" w16cid:durableId="695892099">
    <w:abstractNumId w:val="4"/>
  </w:num>
  <w:num w:numId="6" w16cid:durableId="133695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72A8E"/>
    <w:rsid w:val="00640E4B"/>
    <w:rsid w:val="00724E52"/>
    <w:rsid w:val="00732AD9"/>
    <w:rsid w:val="007B29CF"/>
    <w:rsid w:val="007E70FD"/>
    <w:rsid w:val="00890866"/>
    <w:rsid w:val="00AD4D7D"/>
    <w:rsid w:val="00B24204"/>
    <w:rsid w:val="00B67935"/>
    <w:rsid w:val="00BC1698"/>
    <w:rsid w:val="00C45DE2"/>
    <w:rsid w:val="00CA6C9D"/>
    <w:rsid w:val="00D23FED"/>
    <w:rsid w:val="00EC1037"/>
    <w:rsid w:val="00FF5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14265</Words>
  <Characters>8132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8</cp:revision>
  <dcterms:created xsi:type="dcterms:W3CDTF">2024-10-13T12:55:00Z</dcterms:created>
  <dcterms:modified xsi:type="dcterms:W3CDTF">2025-11-07T09:19:00Z</dcterms:modified>
</cp:coreProperties>
</file>