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09412FD8"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DF1DCE">
        <w:rPr>
          <w:color w:val="000000" w:themeColor="text1"/>
          <w:sz w:val="24"/>
          <w:szCs w:val="24"/>
        </w:rPr>
        <w:t>7</w:t>
      </w:r>
      <w:r w:rsidRPr="008E4A7C">
        <w:rPr>
          <w:color w:val="000000" w:themeColor="text1"/>
          <w:sz w:val="24"/>
          <w:szCs w:val="24"/>
        </w:rPr>
        <w:t xml:space="preserve"> </w:t>
      </w:r>
      <w:r w:rsidRPr="008E4A7C">
        <w:rPr>
          <w:sz w:val="24"/>
          <w:szCs w:val="24"/>
        </w:rPr>
        <w:t>„</w:t>
      </w:r>
      <w:r w:rsidR="008472F1">
        <w:rPr>
          <w:color w:val="000000" w:themeColor="text1"/>
          <w:sz w:val="24"/>
          <w:szCs w:val="24"/>
        </w:rPr>
        <w:t>Pirkime keliami žalieji</w:t>
      </w:r>
      <w:r w:rsidR="00AD1FD5" w:rsidRPr="008E4A7C">
        <w:rPr>
          <w:color w:val="000000" w:themeColor="text1"/>
          <w:sz w:val="24"/>
          <w:szCs w:val="24"/>
        </w:rPr>
        <w:t xml:space="preserve"> reikalavimai</w:t>
      </w:r>
      <w:r w:rsidRPr="008E4A7C">
        <w:rPr>
          <w:color w:val="000000" w:themeColor="text1"/>
          <w:sz w:val="24"/>
          <w:szCs w:val="24"/>
        </w:rPr>
        <w:t>“</w:t>
      </w:r>
    </w:p>
    <w:p w14:paraId="106DD01F" w14:textId="77777777" w:rsidR="008E4A7C" w:rsidRPr="008E4A7C" w:rsidRDefault="008E4A7C" w:rsidP="008E4A7C">
      <w:pPr>
        <w:shd w:val="clear" w:color="auto" w:fill="FFFFFF"/>
        <w:ind w:right="-425"/>
        <w:jc w:val="center"/>
        <w:rPr>
          <w:rFonts w:cs="Times New Roman"/>
          <w:b/>
          <w:szCs w:val="24"/>
        </w:rPr>
      </w:pPr>
    </w:p>
    <w:p w14:paraId="5FD5FF37" w14:textId="77777777" w:rsidR="008E4A7C" w:rsidRPr="008E4A7C" w:rsidRDefault="008E4A7C" w:rsidP="008E4A7C">
      <w:pPr>
        <w:ind w:firstLine="567"/>
        <w:jc w:val="both"/>
        <w:rPr>
          <w:rFonts w:cs="Times New Roman"/>
          <w:szCs w:val="24"/>
        </w:rPr>
      </w:pPr>
      <w:r w:rsidRPr="008E4A7C">
        <w:rPr>
          <w:rFonts w:cs="Times New Roman"/>
          <w:szCs w:val="24"/>
        </w:rPr>
        <w:t>Darniųjų reikalavimų atitiktį patvirtinančius dokumentus Perkančioji organizacija prašys pateikti Tiekėjo kuris bus nustatytas galimu laimėtoju.  </w:t>
      </w:r>
    </w:p>
    <w:tbl>
      <w:tblPr>
        <w:tblStyle w:val="TableGrid1"/>
        <w:tblW w:w="9639" w:type="dxa"/>
        <w:tblInd w:w="-5" w:type="dxa"/>
        <w:tblLayout w:type="fixed"/>
        <w:tblLook w:val="04A0" w:firstRow="1" w:lastRow="0" w:firstColumn="1" w:lastColumn="0" w:noHBand="0" w:noVBand="1"/>
      </w:tblPr>
      <w:tblGrid>
        <w:gridCol w:w="709"/>
        <w:gridCol w:w="4821"/>
        <w:gridCol w:w="4109"/>
      </w:tblGrid>
      <w:tr w:rsidR="008E4A7C" w:rsidRPr="008E4A7C" w14:paraId="0983E6A4" w14:textId="77777777" w:rsidTr="006C788B">
        <w:trPr>
          <w:trHeight w:val="63"/>
          <w:tblHeader/>
        </w:trPr>
        <w:tc>
          <w:tcPr>
            <w:tcW w:w="709" w:type="dxa"/>
            <w:tcBorders>
              <w:top w:val="single" w:sz="4" w:space="0" w:color="000000"/>
              <w:left w:val="single" w:sz="4" w:space="0" w:color="000000"/>
              <w:bottom w:val="single" w:sz="4" w:space="0" w:color="000000"/>
              <w:right w:val="single" w:sz="4" w:space="0" w:color="000000"/>
            </w:tcBorders>
            <w:hideMark/>
          </w:tcPr>
          <w:p w14:paraId="60636C1F"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Eil.</w:t>
            </w:r>
          </w:p>
          <w:p w14:paraId="6137BEB2"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Nr.</w:t>
            </w:r>
          </w:p>
        </w:tc>
        <w:tc>
          <w:tcPr>
            <w:tcW w:w="4821" w:type="dxa"/>
            <w:tcBorders>
              <w:top w:val="single" w:sz="4" w:space="0" w:color="000000"/>
              <w:left w:val="single" w:sz="4" w:space="0" w:color="000000"/>
              <w:bottom w:val="single" w:sz="4" w:space="0" w:color="000000"/>
              <w:right w:val="single" w:sz="4" w:space="0" w:color="000000"/>
            </w:tcBorders>
            <w:hideMark/>
          </w:tcPr>
          <w:p w14:paraId="329B9FE9" w14:textId="77777777" w:rsidR="008E4A7C" w:rsidRPr="008E4A7C" w:rsidRDefault="008E4A7C">
            <w:pPr>
              <w:tabs>
                <w:tab w:val="left" w:pos="567"/>
              </w:tabs>
              <w:spacing w:before="60" w:after="60"/>
              <w:jc w:val="center"/>
              <w:rPr>
                <w:rFonts w:cs="Times New Roman"/>
                <w:b/>
                <w:bCs/>
                <w:iCs/>
                <w:szCs w:val="24"/>
                <w:lang w:eastAsia="lt-LT"/>
              </w:rPr>
            </w:pPr>
            <w:r w:rsidRPr="008E4A7C">
              <w:rPr>
                <w:rFonts w:cs="Times New Roman"/>
                <w:b/>
                <w:bCs/>
                <w:iCs/>
                <w:szCs w:val="24"/>
                <w:lang w:eastAsia="lt-LT"/>
              </w:rPr>
              <w:t>Reikalavimas</w:t>
            </w:r>
          </w:p>
        </w:tc>
        <w:tc>
          <w:tcPr>
            <w:tcW w:w="4109" w:type="dxa"/>
            <w:tcBorders>
              <w:top w:val="single" w:sz="4" w:space="0" w:color="000000"/>
              <w:left w:val="single" w:sz="4" w:space="0" w:color="000000"/>
              <w:bottom w:val="single" w:sz="4" w:space="0" w:color="000000"/>
              <w:right w:val="single" w:sz="4" w:space="0" w:color="000000"/>
            </w:tcBorders>
          </w:tcPr>
          <w:p w14:paraId="1752810B" w14:textId="77777777" w:rsidR="008E4A7C" w:rsidRPr="008E4A7C" w:rsidRDefault="008E4A7C">
            <w:pPr>
              <w:tabs>
                <w:tab w:val="left" w:pos="851"/>
              </w:tabs>
              <w:spacing w:before="60" w:after="60"/>
              <w:ind w:left="142"/>
              <w:jc w:val="center"/>
              <w:rPr>
                <w:rFonts w:cs="Times New Roman"/>
                <w:b/>
                <w:iCs/>
                <w:szCs w:val="24"/>
                <w:lang w:eastAsia="lt-LT"/>
              </w:rPr>
            </w:pPr>
            <w:r w:rsidRPr="008E4A7C">
              <w:rPr>
                <w:rFonts w:cs="Times New Roman"/>
                <w:b/>
                <w:iCs/>
                <w:szCs w:val="24"/>
                <w:lang w:eastAsia="lt-LT"/>
              </w:rPr>
              <w:t>Pateikiami dokumentai</w:t>
            </w:r>
          </w:p>
          <w:p w14:paraId="532D3CD7" w14:textId="77777777" w:rsidR="008E4A7C" w:rsidRPr="008E4A7C" w:rsidRDefault="008E4A7C">
            <w:pPr>
              <w:tabs>
                <w:tab w:val="left" w:pos="851"/>
              </w:tabs>
              <w:spacing w:before="60" w:after="60"/>
              <w:ind w:left="142"/>
              <w:jc w:val="center"/>
              <w:rPr>
                <w:rFonts w:cs="Times New Roman"/>
                <w:b/>
                <w:iCs/>
                <w:szCs w:val="24"/>
                <w:lang w:eastAsia="lt-LT"/>
              </w:rPr>
            </w:pPr>
          </w:p>
        </w:tc>
      </w:tr>
      <w:tr w:rsidR="008E4A7C" w:rsidRPr="008E4A7C" w14:paraId="6E079B9A" w14:textId="77777777" w:rsidTr="006C788B">
        <w:tc>
          <w:tcPr>
            <w:tcW w:w="709" w:type="dxa"/>
            <w:tcBorders>
              <w:top w:val="single" w:sz="4" w:space="0" w:color="000000"/>
              <w:left w:val="single" w:sz="4" w:space="0" w:color="000000"/>
              <w:bottom w:val="single" w:sz="4" w:space="0" w:color="000000"/>
              <w:right w:val="single" w:sz="4" w:space="0" w:color="000000"/>
            </w:tcBorders>
          </w:tcPr>
          <w:p w14:paraId="5B6A7612" w14:textId="77777777" w:rsidR="008E4A7C" w:rsidRPr="008E4A7C" w:rsidRDefault="008E4A7C" w:rsidP="008E4A7C">
            <w:pPr>
              <w:pStyle w:val="Sraopastraipa"/>
              <w:numPr>
                <w:ilvl w:val="0"/>
                <w:numId w:val="39"/>
              </w:numPr>
              <w:tabs>
                <w:tab w:val="left" w:pos="360"/>
              </w:tabs>
              <w:suppressAutoHyphens w:val="0"/>
              <w:spacing w:before="60" w:after="60" w:line="240" w:lineRule="auto"/>
              <w:rPr>
                <w:rFonts w:cs="Times New Roman"/>
                <w:iCs/>
                <w:szCs w:val="24"/>
                <w:lang w:eastAsia="lt-LT"/>
              </w:rPr>
            </w:pPr>
          </w:p>
        </w:tc>
        <w:tc>
          <w:tcPr>
            <w:tcW w:w="4821" w:type="dxa"/>
            <w:tcBorders>
              <w:top w:val="single" w:sz="4" w:space="0" w:color="000000"/>
              <w:left w:val="single" w:sz="4" w:space="0" w:color="000000"/>
              <w:bottom w:val="single" w:sz="4" w:space="0" w:color="000000"/>
              <w:right w:val="single" w:sz="4" w:space="0" w:color="000000"/>
            </w:tcBorders>
            <w:hideMark/>
          </w:tcPr>
          <w:p w14:paraId="1E407731" w14:textId="1075E76E" w:rsidR="008E4A7C" w:rsidRPr="008E4A7C" w:rsidRDefault="008E4A7C">
            <w:pPr>
              <w:tabs>
                <w:tab w:val="left" w:pos="851"/>
              </w:tabs>
              <w:spacing w:before="60" w:after="60"/>
              <w:jc w:val="both"/>
              <w:rPr>
                <w:rFonts w:cs="Times New Roman"/>
                <w:b/>
                <w:bCs/>
                <w:color w:val="FF0000"/>
                <w:spacing w:val="2"/>
                <w:szCs w:val="24"/>
                <w:lang w:eastAsia="lt-LT"/>
              </w:rPr>
            </w:pPr>
            <w:r w:rsidRPr="008E4A7C">
              <w:rPr>
                <w:rFonts w:cs="Times New Roman"/>
                <w:szCs w:val="24"/>
                <w:lang w:eastAsia="lt-LT"/>
              </w:rPr>
              <w:t>Tiekėjas, tiekėjų grupės narys (-</w:t>
            </w:r>
            <w:proofErr w:type="spellStart"/>
            <w:r w:rsidRPr="008E4A7C">
              <w:rPr>
                <w:rFonts w:cs="Times New Roman"/>
                <w:szCs w:val="24"/>
                <w:lang w:eastAsia="lt-LT"/>
              </w:rPr>
              <w:t>iai</w:t>
            </w:r>
            <w:proofErr w:type="spellEnd"/>
            <w:r w:rsidRPr="008E4A7C">
              <w:rPr>
                <w:rFonts w:cs="Times New Roman"/>
                <w:szCs w:val="24"/>
                <w:lang w:eastAsia="lt-LT"/>
              </w:rPr>
              <w:t>), veikiantis (-</w:t>
            </w:r>
            <w:proofErr w:type="spellStart"/>
            <w:r w:rsidRPr="008E4A7C">
              <w:rPr>
                <w:rFonts w:cs="Times New Roman"/>
                <w:szCs w:val="24"/>
                <w:lang w:eastAsia="lt-LT"/>
              </w:rPr>
              <w:t>ys</w:t>
            </w:r>
            <w:proofErr w:type="spellEnd"/>
            <w:r w:rsidRPr="008E4A7C">
              <w:rPr>
                <w:rFonts w:cs="Times New Roman"/>
                <w:szCs w:val="24"/>
                <w:lang w:eastAsia="lt-LT"/>
              </w:rPr>
              <w:t xml:space="preserve">) pagal jungtinės veiklos sutartį, pagal prisiimamus įsipareigojimus </w:t>
            </w:r>
            <w:r w:rsidR="00DE4EF3">
              <w:rPr>
                <w:rFonts w:cs="Times New Roman"/>
                <w:b/>
                <w:bCs/>
                <w:szCs w:val="24"/>
                <w:lang w:eastAsia="lt-LT"/>
              </w:rPr>
              <w:t xml:space="preserve">betono gaminių </w:t>
            </w:r>
            <w:r w:rsidR="00DF1DCE">
              <w:rPr>
                <w:rFonts w:cs="Times New Roman"/>
                <w:b/>
                <w:bCs/>
                <w:szCs w:val="24"/>
                <w:lang w:eastAsia="lt-LT"/>
              </w:rPr>
              <w:t xml:space="preserve">gamybai ir (ar) </w:t>
            </w:r>
            <w:r w:rsidR="00DE4EF3">
              <w:rPr>
                <w:rFonts w:cs="Times New Roman"/>
                <w:b/>
                <w:bCs/>
                <w:szCs w:val="24"/>
                <w:lang w:eastAsia="lt-LT"/>
              </w:rPr>
              <w:t>tiekimui</w:t>
            </w:r>
            <w:r w:rsidRPr="008E4A7C">
              <w:rPr>
                <w:rFonts w:cs="Times New Roman"/>
                <w:szCs w:val="24"/>
                <w:lang w:eastAsia="lt-LT"/>
              </w:rPr>
              <w:t xml:space="preserve"> (toliau – </w:t>
            </w:r>
            <w:r w:rsidR="00DE4EF3">
              <w:rPr>
                <w:rFonts w:cs="Times New Roman"/>
                <w:b/>
                <w:bCs/>
                <w:i/>
                <w:iCs/>
                <w:szCs w:val="24"/>
                <w:lang w:eastAsia="lt-LT"/>
              </w:rPr>
              <w:t>prekėms</w:t>
            </w:r>
            <w:r w:rsidRPr="008E4A7C">
              <w:rPr>
                <w:rFonts w:cs="Times New Roman"/>
                <w:szCs w:val="24"/>
                <w:lang w:eastAsia="lt-LT"/>
              </w:rPr>
              <w:t xml:space="preserve">) taiko aplinkos apsaugos vadybos sistemos reikalavimus pagal standartą LST EN ISO 14001 „Aplinkos vadybos sistemos. Reikalavimai ir naudojimo gairės“ (toliau – LST EN ISO 14001) arba Europos Sąjungos aplinkos apsaugos vadybos ir audito sistemą (angl. </w:t>
            </w:r>
            <w:proofErr w:type="spellStart"/>
            <w:r w:rsidRPr="008E4A7C">
              <w:rPr>
                <w:rFonts w:cs="Times New Roman"/>
                <w:szCs w:val="24"/>
                <w:lang w:eastAsia="lt-LT"/>
              </w:rPr>
              <w:t>Eco</w:t>
            </w:r>
            <w:proofErr w:type="spellEnd"/>
            <w:r w:rsidRPr="008E4A7C">
              <w:rPr>
                <w:rFonts w:cs="Times New Roman"/>
                <w:szCs w:val="24"/>
                <w:lang w:eastAsia="lt-LT"/>
              </w:rPr>
              <w:t>–</w:t>
            </w:r>
            <w:proofErr w:type="spellStart"/>
            <w:r w:rsidRPr="008E4A7C">
              <w:rPr>
                <w:rFonts w:cs="Times New Roman"/>
                <w:szCs w:val="24"/>
                <w:lang w:eastAsia="lt-LT"/>
              </w:rPr>
              <w:t>Management</w:t>
            </w:r>
            <w:proofErr w:type="spellEnd"/>
            <w:r w:rsidRPr="008E4A7C">
              <w:rPr>
                <w:rFonts w:cs="Times New Roman"/>
                <w:szCs w:val="24"/>
                <w:lang w:eastAsia="lt-LT"/>
              </w:rPr>
              <w:t xml:space="preserve"> </w:t>
            </w:r>
            <w:proofErr w:type="spellStart"/>
            <w:r w:rsidRPr="008E4A7C">
              <w:rPr>
                <w:rFonts w:cs="Times New Roman"/>
                <w:szCs w:val="24"/>
                <w:lang w:eastAsia="lt-LT"/>
              </w:rPr>
              <w:t>and</w:t>
            </w:r>
            <w:proofErr w:type="spellEnd"/>
            <w:r w:rsidRPr="008E4A7C">
              <w:rPr>
                <w:rFonts w:cs="Times New Roman"/>
                <w:szCs w:val="24"/>
                <w:lang w:eastAsia="lt-LT"/>
              </w:rPr>
              <w:t xml:space="preserve"> </w:t>
            </w:r>
            <w:proofErr w:type="spellStart"/>
            <w:r w:rsidRPr="008E4A7C">
              <w:rPr>
                <w:rFonts w:cs="Times New Roman"/>
                <w:szCs w:val="24"/>
                <w:lang w:eastAsia="lt-LT"/>
              </w:rPr>
              <w:t>Audit</w:t>
            </w:r>
            <w:proofErr w:type="spellEnd"/>
            <w:r w:rsidRPr="008E4A7C">
              <w:rPr>
                <w:rFonts w:cs="Times New Roman"/>
                <w:szCs w:val="24"/>
                <w:lang w:eastAsia="lt-LT"/>
              </w:rPr>
              <w:t xml:space="preserve"> </w:t>
            </w:r>
            <w:proofErr w:type="spellStart"/>
            <w:r w:rsidRPr="008E4A7C">
              <w:rPr>
                <w:rFonts w:cs="Times New Roman"/>
                <w:szCs w:val="24"/>
                <w:lang w:eastAsia="lt-LT"/>
              </w:rPr>
              <w:t>Scheme</w:t>
            </w:r>
            <w:proofErr w:type="spellEnd"/>
            <w:r w:rsidRPr="008E4A7C">
              <w:rPr>
                <w:rFonts w:cs="Times New Roman"/>
                <w:szCs w:val="24"/>
                <w:lang w:eastAsia="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tc>
        <w:tc>
          <w:tcPr>
            <w:tcW w:w="4109" w:type="dxa"/>
            <w:tcBorders>
              <w:top w:val="single" w:sz="4" w:space="0" w:color="000000"/>
              <w:left w:val="single" w:sz="4" w:space="0" w:color="000000"/>
              <w:bottom w:val="single" w:sz="4" w:space="0" w:color="000000"/>
              <w:right w:val="single" w:sz="4" w:space="0" w:color="000000"/>
            </w:tcBorders>
          </w:tcPr>
          <w:p w14:paraId="2A2966CC" w14:textId="017C03B8"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00DE4EF3">
              <w:rPr>
                <w:rFonts w:cs="Times New Roman"/>
                <w:b/>
                <w:bCs/>
                <w:i/>
                <w:iCs/>
                <w:szCs w:val="24"/>
                <w:lang w:eastAsia="lt-LT"/>
              </w:rPr>
              <w:t>prekėms</w:t>
            </w:r>
            <w:r w:rsidRPr="008E4A7C">
              <w:rPr>
                <w:rFonts w:cs="Times New Roman"/>
                <w:b/>
                <w:bCs/>
                <w:i/>
                <w:iCs/>
                <w:szCs w:val="24"/>
                <w:lang w:eastAsia="lt-LT"/>
              </w:rPr>
              <w:t xml:space="preserve"> </w:t>
            </w:r>
            <w:r w:rsidR="00DE4EF3">
              <w:rPr>
                <w:rFonts w:cs="Times New Roman"/>
                <w:szCs w:val="24"/>
                <w:lang w:eastAsia="lt-LT"/>
              </w:rPr>
              <w:t>gaminti ir (ar) tiekti</w:t>
            </w:r>
            <w:r w:rsidRPr="008E4A7C">
              <w:rPr>
                <w:rFonts w:cs="Times New Roman"/>
                <w:szCs w:val="24"/>
                <w:lang w:eastAsia="lt-LT"/>
              </w:rPr>
              <w:t xml:space="preserve"> galės taikyti aplinkos apsaugos vadybos priemones. </w:t>
            </w:r>
          </w:p>
          <w:p w14:paraId="11596B57" w14:textId="05C0524B"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00DE4EF3">
              <w:rPr>
                <w:rFonts w:cs="Times New Roman"/>
                <w:b/>
                <w:bCs/>
                <w:i/>
                <w:iCs/>
                <w:szCs w:val="24"/>
                <w:lang w:eastAsia="lt-LT"/>
              </w:rPr>
              <w:t>prekėms ga</w:t>
            </w:r>
            <w:r w:rsidR="006C788B">
              <w:rPr>
                <w:rFonts w:cs="Times New Roman"/>
                <w:b/>
                <w:bCs/>
                <w:i/>
                <w:iCs/>
                <w:szCs w:val="24"/>
                <w:lang w:eastAsia="lt-LT"/>
              </w:rPr>
              <w:t>mi</w:t>
            </w:r>
            <w:r w:rsidR="00DE4EF3">
              <w:rPr>
                <w:rFonts w:cs="Times New Roman"/>
                <w:b/>
                <w:bCs/>
                <w:i/>
                <w:iCs/>
                <w:szCs w:val="24"/>
                <w:lang w:eastAsia="lt-LT"/>
              </w:rPr>
              <w:t>nti ir (ar) tiekti</w:t>
            </w:r>
            <w:r w:rsidRPr="008E4A7C">
              <w:rPr>
                <w:rFonts w:cs="Times New Roman"/>
                <w:szCs w:val="24"/>
                <w:lang w:eastAsia="lt-LT"/>
              </w:rPr>
              <w:t xml:space="preserve"> taikomų aplinkos apsaugos vadybos priemonių aprašymas, tenkinantis visus šiuos reikalavimus:</w:t>
            </w:r>
          </w:p>
          <w:p w14:paraId="2E77AA2B" w14:textId="63365E43"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1. apibrėžta įmonės ar įstaigos vadovybės patvirtinta aplinkos apsaugos politika ir aplinkos apsaugos reikalavimų atitikimas </w:t>
            </w:r>
            <w:r w:rsidR="00DE4EF3">
              <w:rPr>
                <w:rFonts w:cs="Times New Roman"/>
                <w:i/>
                <w:iCs/>
                <w:szCs w:val="24"/>
                <w:lang w:eastAsia="lt-LT"/>
              </w:rPr>
              <w:t>gaminant ir (ar) tiekiant prekes</w:t>
            </w:r>
            <w:r w:rsidRPr="008E4A7C">
              <w:rPr>
                <w:rFonts w:cs="Times New Roman"/>
                <w:szCs w:val="24"/>
                <w:lang w:eastAsia="lt-LT"/>
              </w:rPr>
              <w:t xml:space="preserve">; </w:t>
            </w:r>
          </w:p>
          <w:p w14:paraId="3FC80AF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2. nustatyti reikšmingiausi aplinkos apsaugos aspektai, kuriems įtaką daro, gali daryti įmonės ar įstaigos vykdoma </w:t>
            </w:r>
            <w:r w:rsidRPr="008E4A7C">
              <w:rPr>
                <w:rFonts w:cs="Times New Roman"/>
                <w:szCs w:val="24"/>
                <w:shd w:val="clear" w:color="auto" w:fill="FFFFFF"/>
                <w:lang w:eastAsia="lt-LT"/>
              </w:rPr>
              <w:lastRenderedPageBreak/>
              <w:t xml:space="preserve">veikla, ir šiuos aplinkos apsaugos aspektus reglamentuojantys teisės aktai; </w:t>
            </w:r>
          </w:p>
          <w:p w14:paraId="785A5DCE"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3. nustatyti aplinkosauginiai tikslai ir uždaviniai bei priemonės šiems tikslams pasiekti; </w:t>
            </w:r>
          </w:p>
          <w:p w14:paraId="3DCD9621"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4. numatyta aplinkosauginių tikslų įgyvendinimo stebėsena – paskirti atsakingi asmenys, nustatyta jų atsakomybė, pareigos ir priemonių įgyvendinimo terminai; </w:t>
            </w:r>
          </w:p>
          <w:p w14:paraId="13055837"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5. parengtas aplinkosauginių ir avarinių situacijų valdymo planas; </w:t>
            </w:r>
          </w:p>
          <w:p w14:paraId="4F1602DB"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6. vykdoma aplinkosauginio gerinimo veiklos kontrolė (pvz., parengiamos kasmetinės ataskaitos, kurios pateikiamos, pristatomos įmonės vadovybei).</w:t>
            </w:r>
          </w:p>
          <w:p w14:paraId="19ED73A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Tiekėjas taip pat turi pateikti aprašymą pagrindžiančius dokumentus (pateikiamos šių dokumentų kopijos).</w:t>
            </w:r>
          </w:p>
          <w:p w14:paraId="2A432C4F" w14:textId="77777777" w:rsidR="008E4A7C" w:rsidRPr="008E4A7C" w:rsidRDefault="008E4A7C">
            <w:pPr>
              <w:jc w:val="both"/>
              <w:rPr>
                <w:rFonts w:cs="Times New Roman"/>
                <w:color w:val="FF0000"/>
                <w:szCs w:val="24"/>
                <w:shd w:val="clear" w:color="auto" w:fill="FFFFFF"/>
                <w:lang w:eastAsia="lt-LT"/>
              </w:rPr>
            </w:pPr>
          </w:p>
        </w:tc>
      </w:tr>
      <w:tr w:rsidR="008E4A7C" w:rsidRPr="008E4A7C" w14:paraId="4CF6F025" w14:textId="77777777" w:rsidTr="006D2A91">
        <w:tc>
          <w:tcPr>
            <w:tcW w:w="9639" w:type="dxa"/>
            <w:gridSpan w:val="3"/>
            <w:tcBorders>
              <w:top w:val="single" w:sz="4" w:space="0" w:color="000000"/>
              <w:left w:val="single" w:sz="4" w:space="0" w:color="000000"/>
              <w:bottom w:val="single" w:sz="4" w:space="0" w:color="000000"/>
              <w:right w:val="single" w:sz="4" w:space="0" w:color="000000"/>
            </w:tcBorders>
          </w:tcPr>
          <w:p w14:paraId="4F97612E" w14:textId="77777777" w:rsidR="008E4A7C" w:rsidRPr="008E4A7C" w:rsidRDefault="008E4A7C" w:rsidP="008E4A7C">
            <w:pPr>
              <w:numPr>
                <w:ilvl w:val="0"/>
                <w:numId w:val="40"/>
              </w:numPr>
              <w:suppressAutoHyphens w:val="0"/>
              <w:spacing w:after="0" w:line="240" w:lineRule="auto"/>
              <w:jc w:val="both"/>
              <w:rPr>
                <w:rFonts w:eastAsia="Times New Roman" w:cs="Times New Roman"/>
                <w:i/>
                <w:iCs/>
                <w:szCs w:val="24"/>
                <w:lang w:eastAsia="en-US"/>
              </w:rPr>
            </w:pPr>
            <w:r w:rsidRPr="008E4A7C">
              <w:rPr>
                <w:rFonts w:cs="Times New Roman"/>
                <w:i/>
                <w:iCs/>
                <w:szCs w:val="24"/>
              </w:rPr>
              <w:lastRenderedPageBreak/>
              <w:t>Jeigu pasiūlymą teikia ūkio subjektų grupė – reikalavimą turi atitikti ūkio subjektų grupės narys (-</w:t>
            </w:r>
            <w:proofErr w:type="spellStart"/>
            <w:r w:rsidRPr="008E4A7C">
              <w:rPr>
                <w:rFonts w:cs="Times New Roman"/>
                <w:i/>
                <w:iCs/>
                <w:szCs w:val="24"/>
              </w:rPr>
              <w:t>iai</w:t>
            </w:r>
            <w:proofErr w:type="spellEnd"/>
            <w:r w:rsidRPr="008E4A7C">
              <w:rPr>
                <w:rFonts w:cs="Times New Roman"/>
                <w:i/>
                <w:iCs/>
                <w:szCs w:val="24"/>
              </w:rPr>
              <w:t xml:space="preserve">), </w:t>
            </w:r>
            <w:r w:rsidRPr="008E4A7C">
              <w:rPr>
                <w:rFonts w:cs="Times New Roman"/>
                <w:b/>
                <w:bCs/>
                <w:i/>
                <w:iCs/>
                <w:szCs w:val="24"/>
              </w:rPr>
              <w:t>atsižvelgiant į jų prisiimamus įsipareigojimus pirkimo sutarčiai vykdyti (aktyviai vykdant sutartį)</w:t>
            </w:r>
            <w:r w:rsidRPr="008E4A7C">
              <w:rPr>
                <w:rFonts w:cs="Times New Roman"/>
                <w:i/>
                <w:iCs/>
                <w:szCs w:val="24"/>
              </w:rPr>
              <w:t>. </w:t>
            </w:r>
          </w:p>
          <w:p w14:paraId="7D7809A2" w14:textId="77777777" w:rsidR="008E4A7C" w:rsidRPr="008E4A7C" w:rsidRDefault="008E4A7C" w:rsidP="008E4A7C">
            <w:pPr>
              <w:numPr>
                <w:ilvl w:val="0"/>
                <w:numId w:val="41"/>
              </w:numPr>
              <w:suppressAutoHyphens w:val="0"/>
              <w:spacing w:after="0" w:line="240" w:lineRule="auto"/>
              <w:jc w:val="both"/>
              <w:rPr>
                <w:rFonts w:cs="Times New Roman"/>
                <w:i/>
                <w:iCs/>
                <w:szCs w:val="24"/>
              </w:rPr>
            </w:pPr>
            <w:r w:rsidRPr="008E4A7C">
              <w:rPr>
                <w:rFonts w:cs="Times New Roman"/>
                <w:i/>
                <w:iCs/>
                <w:szCs w:val="24"/>
              </w:rPr>
              <w:t>Tiekėjas gali remtis kitų ūkio subjektų pajėgumais tik tuo atveju, jeigu tie subjektai patys vykdys tą pirkimo sutarties dalį, kuriai reikia jų turimų pajėgumų. </w:t>
            </w:r>
          </w:p>
          <w:p w14:paraId="01168996" w14:textId="6A4A37F7" w:rsidR="008E4A7C" w:rsidRDefault="008E4A7C" w:rsidP="008E4A7C">
            <w:pPr>
              <w:numPr>
                <w:ilvl w:val="0"/>
                <w:numId w:val="42"/>
              </w:numPr>
              <w:suppressAutoHyphens w:val="0"/>
              <w:spacing w:after="0" w:line="240" w:lineRule="auto"/>
              <w:jc w:val="both"/>
              <w:rPr>
                <w:rFonts w:cs="Times New Roman"/>
                <w:i/>
                <w:iCs/>
                <w:szCs w:val="24"/>
              </w:rPr>
            </w:pPr>
            <w:r w:rsidRPr="008E4A7C">
              <w:rPr>
                <w:rFonts w:cs="Times New Roman"/>
                <w:i/>
                <w:iCs/>
                <w:szCs w:val="24"/>
              </w:rPr>
              <w:t>Subtiekėjai, kurie pasitelkiami ne kvalifikacijai tenkinti, turi laikytis reikalaujamų aplinkos apsaugos vadybos priemonių, kurias turi įsidiegęs tiekėjas, atsižvelgiant į jų prisiimamus įsipareigojimus pirkimo sutarčiai vykdyti. </w:t>
            </w:r>
          </w:p>
          <w:p w14:paraId="3C51E336" w14:textId="2C865859" w:rsidR="006C788B" w:rsidRPr="006C788B" w:rsidRDefault="006C788B" w:rsidP="008E4A7C">
            <w:pPr>
              <w:numPr>
                <w:ilvl w:val="0"/>
                <w:numId w:val="42"/>
              </w:numPr>
              <w:suppressAutoHyphens w:val="0"/>
              <w:spacing w:after="0" w:line="240" w:lineRule="auto"/>
              <w:jc w:val="both"/>
              <w:rPr>
                <w:rFonts w:cs="Times New Roman"/>
                <w:i/>
                <w:iCs/>
                <w:szCs w:val="24"/>
              </w:rPr>
            </w:pPr>
            <w:r w:rsidRPr="006C788B">
              <w:rPr>
                <w:rFonts w:cs="Times New Roman"/>
                <w:i/>
                <w:iCs/>
                <w:szCs w:val="24"/>
              </w:rPr>
              <w:t>Jeigu Pirkime keliamas (-i) Žaliasis (-</w:t>
            </w:r>
            <w:proofErr w:type="spellStart"/>
            <w:r w:rsidRPr="006C788B">
              <w:rPr>
                <w:rFonts w:cs="Times New Roman"/>
                <w:i/>
                <w:iCs/>
                <w:szCs w:val="24"/>
              </w:rPr>
              <w:t>ieji</w:t>
            </w:r>
            <w:proofErr w:type="spellEnd"/>
            <w:r w:rsidRPr="006C788B">
              <w:rPr>
                <w:rFonts w:cs="Times New Roman"/>
                <w:i/>
                <w:iCs/>
                <w:szCs w:val="24"/>
              </w:rPr>
              <w:t>) reikalavimas (-ai) ir Tiekėjas ketina Sutarties vykdymui pasitelkti kitus Ūkio subjektus, kurių pajėgumais remiamasi, ir (ar) Subtiekėjus, kiekvienas Tiekėjo pasitelkiamas Ūkio subjektas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w:t>
            </w:r>
          </w:p>
          <w:p w14:paraId="57C8C9EA" w14:textId="77777777" w:rsidR="008E4A7C" w:rsidRPr="008E4A7C" w:rsidRDefault="008E4A7C">
            <w:pPr>
              <w:jc w:val="both"/>
              <w:rPr>
                <w:rFonts w:cs="Times New Roman"/>
                <w:szCs w:val="24"/>
                <w:lang w:eastAsia="lt-LT"/>
              </w:rPr>
            </w:pPr>
          </w:p>
        </w:tc>
      </w:tr>
    </w:tbl>
    <w:p w14:paraId="7A816715" w14:textId="4ADEAD47" w:rsidR="00916E37" w:rsidRPr="008E4A7C" w:rsidRDefault="00916E37" w:rsidP="008E4A7C">
      <w:pPr>
        <w:pStyle w:val="Sraopastraipa"/>
        <w:tabs>
          <w:tab w:val="left" w:pos="360"/>
        </w:tabs>
        <w:suppressAutoHyphens w:val="0"/>
        <w:spacing w:after="0" w:line="240" w:lineRule="auto"/>
        <w:ind w:left="851"/>
        <w:jc w:val="both"/>
        <w:rPr>
          <w:rFonts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9ED7" w14:textId="77777777" w:rsidR="003D626E" w:rsidRDefault="003D626E" w:rsidP="009704AF">
      <w:pPr>
        <w:spacing w:after="0" w:line="240" w:lineRule="auto"/>
      </w:pPr>
      <w:r>
        <w:separator/>
      </w:r>
    </w:p>
  </w:endnote>
  <w:endnote w:type="continuationSeparator" w:id="0">
    <w:p w14:paraId="318F3499" w14:textId="77777777" w:rsidR="003D626E" w:rsidRDefault="003D626E"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C960" w14:textId="77777777" w:rsidR="003D626E" w:rsidRDefault="003D626E" w:rsidP="009704AF">
      <w:pPr>
        <w:spacing w:after="0" w:line="240" w:lineRule="auto"/>
      </w:pPr>
      <w:r>
        <w:separator/>
      </w:r>
    </w:p>
  </w:footnote>
  <w:footnote w:type="continuationSeparator" w:id="0">
    <w:p w14:paraId="0462B705" w14:textId="77777777" w:rsidR="003D626E" w:rsidRDefault="003D626E"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0"/>
  </w:num>
  <w:num w:numId="4">
    <w:abstractNumId w:val="31"/>
  </w:num>
  <w:num w:numId="5">
    <w:abstractNumId w:val="28"/>
  </w:num>
  <w:num w:numId="6">
    <w:abstractNumId w:val="9"/>
  </w:num>
  <w:num w:numId="7">
    <w:abstractNumId w:val="2"/>
  </w:num>
  <w:num w:numId="8">
    <w:abstractNumId w:val="3"/>
  </w:num>
  <w:num w:numId="9">
    <w:abstractNumId w:val="32"/>
  </w:num>
  <w:num w:numId="10">
    <w:abstractNumId w:val="20"/>
  </w:num>
  <w:num w:numId="11">
    <w:abstractNumId w:val="34"/>
  </w:num>
  <w:num w:numId="12">
    <w:abstractNumId w:val="29"/>
  </w:num>
  <w:num w:numId="13">
    <w:abstractNumId w:val="16"/>
  </w:num>
  <w:num w:numId="14">
    <w:abstractNumId w:val="27"/>
  </w:num>
  <w:num w:numId="15">
    <w:abstractNumId w:val="36"/>
  </w:num>
  <w:num w:numId="16">
    <w:abstractNumId w:val="12"/>
  </w:num>
  <w:num w:numId="17">
    <w:abstractNumId w:val="26"/>
  </w:num>
  <w:num w:numId="18">
    <w:abstractNumId w:val="24"/>
  </w:num>
  <w:num w:numId="19">
    <w:abstractNumId w:val="22"/>
  </w:num>
  <w:num w:numId="20">
    <w:abstractNumId w:val="1"/>
  </w:num>
  <w:num w:numId="21">
    <w:abstractNumId w:val="11"/>
  </w:num>
  <w:num w:numId="22">
    <w:abstractNumId w:val="25"/>
  </w:num>
  <w:num w:numId="23">
    <w:abstractNumId w:val="15"/>
  </w:num>
  <w:num w:numId="24">
    <w:abstractNumId w:val="10"/>
  </w:num>
  <w:num w:numId="25">
    <w:abstractNumId w:val="7"/>
  </w:num>
  <w:num w:numId="26">
    <w:abstractNumId w:val="23"/>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21"/>
  </w:num>
  <w:num w:numId="33">
    <w:abstractNumId w:val="19"/>
  </w:num>
  <w:num w:numId="34">
    <w:abstractNumId w:val="18"/>
  </w:num>
  <w:num w:numId="35">
    <w:abstractNumId w:val="5"/>
  </w:num>
  <w:num w:numId="36">
    <w:abstractNumId w:val="5"/>
  </w:num>
  <w:num w:numId="37">
    <w:abstractNumId w:val="1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810"/>
    <w:rsid w:val="000510A7"/>
    <w:rsid w:val="00051E08"/>
    <w:rsid w:val="000525C0"/>
    <w:rsid w:val="00054AC7"/>
    <w:rsid w:val="00061264"/>
    <w:rsid w:val="000621ED"/>
    <w:rsid w:val="000637C9"/>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13D2"/>
    <w:rsid w:val="001B50ED"/>
    <w:rsid w:val="001B610E"/>
    <w:rsid w:val="001C1F4F"/>
    <w:rsid w:val="001C291C"/>
    <w:rsid w:val="001C3226"/>
    <w:rsid w:val="001C38A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6784"/>
    <w:rsid w:val="00231BCF"/>
    <w:rsid w:val="0023359D"/>
    <w:rsid w:val="00235610"/>
    <w:rsid w:val="00237C0A"/>
    <w:rsid w:val="002449E0"/>
    <w:rsid w:val="002454F0"/>
    <w:rsid w:val="0024653A"/>
    <w:rsid w:val="00247990"/>
    <w:rsid w:val="002507B5"/>
    <w:rsid w:val="00250ECB"/>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D23"/>
    <w:rsid w:val="002E4260"/>
    <w:rsid w:val="002E4F63"/>
    <w:rsid w:val="002E5806"/>
    <w:rsid w:val="002E7E88"/>
    <w:rsid w:val="002F31A6"/>
    <w:rsid w:val="002F36C6"/>
    <w:rsid w:val="002F69A7"/>
    <w:rsid w:val="00300221"/>
    <w:rsid w:val="00300732"/>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26E"/>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88B"/>
    <w:rsid w:val="006C7B98"/>
    <w:rsid w:val="006D0FD1"/>
    <w:rsid w:val="006D232F"/>
    <w:rsid w:val="006D2612"/>
    <w:rsid w:val="006D2AA5"/>
    <w:rsid w:val="006D2C54"/>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0F5D"/>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6EE1"/>
    <w:rsid w:val="0082706F"/>
    <w:rsid w:val="0083021E"/>
    <w:rsid w:val="0083178D"/>
    <w:rsid w:val="00834A23"/>
    <w:rsid w:val="00836B16"/>
    <w:rsid w:val="008414D0"/>
    <w:rsid w:val="00842A76"/>
    <w:rsid w:val="008472F1"/>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F095B"/>
    <w:rsid w:val="008F34AD"/>
    <w:rsid w:val="008F37B8"/>
    <w:rsid w:val="008F3BDE"/>
    <w:rsid w:val="008F4D6F"/>
    <w:rsid w:val="008F5476"/>
    <w:rsid w:val="008F700A"/>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538D"/>
    <w:rsid w:val="00B155F1"/>
    <w:rsid w:val="00B24031"/>
    <w:rsid w:val="00B25621"/>
    <w:rsid w:val="00B25BEB"/>
    <w:rsid w:val="00B260FE"/>
    <w:rsid w:val="00B2694E"/>
    <w:rsid w:val="00B32355"/>
    <w:rsid w:val="00B343D8"/>
    <w:rsid w:val="00B36328"/>
    <w:rsid w:val="00B37A37"/>
    <w:rsid w:val="00B404D2"/>
    <w:rsid w:val="00B46469"/>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DD8"/>
    <w:rsid w:val="00BA1258"/>
    <w:rsid w:val="00BA5D4E"/>
    <w:rsid w:val="00BA7974"/>
    <w:rsid w:val="00BB08F5"/>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4DF"/>
    <w:rsid w:val="00C62CED"/>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FC0"/>
    <w:rsid w:val="00DD576D"/>
    <w:rsid w:val="00DD579E"/>
    <w:rsid w:val="00DD5A5F"/>
    <w:rsid w:val="00DD5B55"/>
    <w:rsid w:val="00DD601F"/>
    <w:rsid w:val="00DD67E0"/>
    <w:rsid w:val="00DD75FA"/>
    <w:rsid w:val="00DE00ED"/>
    <w:rsid w:val="00DE088D"/>
    <w:rsid w:val="00DE3FEC"/>
    <w:rsid w:val="00DE4EF3"/>
    <w:rsid w:val="00DE54A9"/>
    <w:rsid w:val="00DE61D8"/>
    <w:rsid w:val="00DF1DCE"/>
    <w:rsid w:val="00DF546A"/>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4E01"/>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2812</Words>
  <Characters>1603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9</cp:revision>
  <cp:lastPrinted>2025-07-07T12:52:00Z</cp:lastPrinted>
  <dcterms:created xsi:type="dcterms:W3CDTF">2025-10-03T09:45:00Z</dcterms:created>
  <dcterms:modified xsi:type="dcterms:W3CDTF">2025-10-21T15:51:00Z</dcterms:modified>
</cp:coreProperties>
</file>