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D70AB" w:rsidRDefault="00201FC9" w:rsidP="00201FC9">
      <w:pPr>
        <w:spacing w:after="0" w:line="240" w:lineRule="auto"/>
        <w:ind w:left="5760" w:firstLine="720"/>
        <w:jc w:val="both"/>
        <w:rPr>
          <w:rFonts w:ascii="Times New Roman" w:eastAsia="Calibri" w:hAnsi="Times New Roman" w:cs="Times New Roman"/>
          <w:sz w:val="24"/>
          <w:szCs w:val="24"/>
          <w:lang w:val="lt-LT" w:eastAsia="lt-LT"/>
        </w:rPr>
      </w:pPr>
      <w:bookmarkStart w:id="0" w:name="_GoBack"/>
      <w:r w:rsidRPr="006D70AB">
        <w:rPr>
          <w:rFonts w:ascii="Times New Roman" w:eastAsia="Calibri" w:hAnsi="Times New Roman" w:cs="Times New Roman"/>
          <w:sz w:val="24"/>
          <w:szCs w:val="24"/>
          <w:lang w:val="lt-LT" w:eastAsia="lt-LT"/>
        </w:rPr>
        <w:t>Priedas ,,Tiekėjų pašalinimo pagrindai“</w:t>
      </w:r>
    </w:p>
    <w:bookmarkEnd w:id="0"/>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356DEC"/>
    <w:rsid w:val="006D70AB"/>
    <w:rsid w:val="00BF3DAD"/>
    <w:rsid w:val="00C24F4C"/>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3</cp:revision>
  <dcterms:created xsi:type="dcterms:W3CDTF">2025-03-26T13:21:00Z</dcterms:created>
  <dcterms:modified xsi:type="dcterms:W3CDTF">2025-05-05T06:56:00Z</dcterms:modified>
</cp:coreProperties>
</file>