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2B4ED" w14:textId="77777777" w:rsidR="000F6196" w:rsidRDefault="000F6196" w:rsidP="000F6196">
      <w:pPr>
        <w:pStyle w:val="Default"/>
      </w:pPr>
    </w:p>
    <w:p w14:paraId="6D63CE26" w14:textId="77777777" w:rsidR="00720D52" w:rsidRDefault="00720D52" w:rsidP="000F6196">
      <w:pPr>
        <w:pStyle w:val="Default"/>
        <w:jc w:val="center"/>
        <w:rPr>
          <w:b/>
          <w:bCs/>
          <w:sz w:val="23"/>
          <w:szCs w:val="23"/>
        </w:rPr>
      </w:pPr>
      <w:r>
        <w:rPr>
          <w:b/>
          <w:bCs/>
          <w:sz w:val="23"/>
          <w:szCs w:val="23"/>
        </w:rPr>
        <w:t xml:space="preserve">Viešoji įstaiga Jurbarko ligoninė </w:t>
      </w:r>
    </w:p>
    <w:p w14:paraId="28E870EE" w14:textId="77777777" w:rsidR="00720D52" w:rsidRDefault="00720D52" w:rsidP="000F6196">
      <w:pPr>
        <w:pStyle w:val="Default"/>
        <w:jc w:val="center"/>
        <w:rPr>
          <w:b/>
          <w:bCs/>
          <w:sz w:val="23"/>
          <w:szCs w:val="23"/>
        </w:rPr>
      </w:pPr>
    </w:p>
    <w:p w14:paraId="78412E4D" w14:textId="77777777" w:rsidR="000F6196" w:rsidRDefault="000F6196" w:rsidP="000F6196">
      <w:pPr>
        <w:pStyle w:val="Default"/>
        <w:jc w:val="center"/>
        <w:rPr>
          <w:sz w:val="23"/>
          <w:szCs w:val="23"/>
        </w:rPr>
      </w:pPr>
      <w:r>
        <w:rPr>
          <w:b/>
          <w:bCs/>
          <w:sz w:val="23"/>
          <w:szCs w:val="23"/>
        </w:rPr>
        <w:t>TECHNINĖ SPECIFIKACIJA</w:t>
      </w:r>
    </w:p>
    <w:p w14:paraId="779A49FD" w14:textId="77777777" w:rsidR="000F6196" w:rsidRDefault="000F6196" w:rsidP="000F6196">
      <w:pPr>
        <w:pStyle w:val="Default"/>
        <w:rPr>
          <w:sz w:val="22"/>
          <w:szCs w:val="22"/>
        </w:rPr>
      </w:pPr>
    </w:p>
    <w:p w14:paraId="75155F3A" w14:textId="77777777" w:rsidR="000F6196" w:rsidRDefault="000F6196" w:rsidP="000F6196">
      <w:pPr>
        <w:pStyle w:val="Default"/>
        <w:rPr>
          <w:sz w:val="22"/>
          <w:szCs w:val="22"/>
        </w:rPr>
      </w:pPr>
    </w:p>
    <w:p w14:paraId="4FF318B3" w14:textId="77777777" w:rsidR="000F6196" w:rsidRDefault="000F6196" w:rsidP="000F6196">
      <w:pPr>
        <w:pStyle w:val="Default"/>
        <w:rPr>
          <w:sz w:val="22"/>
          <w:szCs w:val="22"/>
        </w:rPr>
      </w:pPr>
      <w:r>
        <w:rPr>
          <w:sz w:val="22"/>
          <w:szCs w:val="22"/>
        </w:rPr>
        <w:t xml:space="preserve">Bendroji informacija: </w:t>
      </w:r>
    </w:p>
    <w:p w14:paraId="3C0762C5" w14:textId="77777777" w:rsidR="000F6196" w:rsidRDefault="000F6196" w:rsidP="000F6196">
      <w:pPr>
        <w:pStyle w:val="Default"/>
        <w:rPr>
          <w:sz w:val="22"/>
          <w:szCs w:val="22"/>
        </w:rPr>
      </w:pPr>
      <w:r>
        <w:rPr>
          <w:sz w:val="22"/>
          <w:szCs w:val="22"/>
        </w:rPr>
        <w:t xml:space="preserve">Įstaiga: Viešoji įstaiga Jurbarko ligoninė, Vydūno g. 56, Jurbarkas </w:t>
      </w:r>
    </w:p>
    <w:p w14:paraId="77C0DE42" w14:textId="4B88A0A7" w:rsidR="000F6196" w:rsidRDefault="00720D52" w:rsidP="009A2087">
      <w:pPr>
        <w:pStyle w:val="Default"/>
        <w:rPr>
          <w:sz w:val="22"/>
          <w:szCs w:val="22"/>
        </w:rPr>
      </w:pPr>
      <w:r>
        <w:rPr>
          <w:sz w:val="22"/>
          <w:szCs w:val="22"/>
        </w:rPr>
        <w:t xml:space="preserve">Perkama paslauga: </w:t>
      </w:r>
      <w:r w:rsidR="009A2087" w:rsidRPr="009A2087">
        <w:rPr>
          <w:sz w:val="22"/>
          <w:szCs w:val="22"/>
        </w:rPr>
        <w:t>Finansinis auditas 2025, 2026, 2027 metams</w:t>
      </w:r>
    </w:p>
    <w:p w14:paraId="24DB7DA4" w14:textId="77777777" w:rsidR="009A2087" w:rsidRDefault="009A2087" w:rsidP="009A2087">
      <w:pPr>
        <w:pStyle w:val="Default"/>
        <w:rPr>
          <w:sz w:val="22"/>
          <w:szCs w:val="22"/>
        </w:rPr>
      </w:pPr>
    </w:p>
    <w:p w14:paraId="3D1B82B0" w14:textId="77777777" w:rsidR="000F6196" w:rsidRDefault="000F6196" w:rsidP="000F6196">
      <w:pPr>
        <w:pStyle w:val="Default"/>
        <w:jc w:val="both"/>
        <w:rPr>
          <w:sz w:val="22"/>
          <w:szCs w:val="22"/>
        </w:rPr>
      </w:pPr>
      <w:r>
        <w:rPr>
          <w:sz w:val="22"/>
          <w:szCs w:val="22"/>
        </w:rPr>
        <w:t xml:space="preserve">Audito paskirtis yra: </w:t>
      </w:r>
    </w:p>
    <w:p w14:paraId="63716563" w14:textId="77777777" w:rsidR="000F6196" w:rsidRDefault="000F6196" w:rsidP="000F6196">
      <w:pPr>
        <w:pStyle w:val="Default"/>
        <w:jc w:val="both"/>
        <w:rPr>
          <w:sz w:val="22"/>
          <w:szCs w:val="22"/>
        </w:rPr>
      </w:pPr>
      <w:r>
        <w:rPr>
          <w:sz w:val="22"/>
          <w:szCs w:val="22"/>
        </w:rPr>
        <w:t xml:space="preserve">1. įvertinti, ar finansinė atskaitomybė visais reikšmingais atžvilgiais tikrai ir teisingai parodo finansinę būklę, veiklos rezultatus ir pinigų srautus, apimant ir mokesčių apskaičiavimo įvertinimą, </w:t>
      </w:r>
    </w:p>
    <w:p w14:paraId="104B83CC" w14:textId="77777777" w:rsidR="000F6196" w:rsidRDefault="000F6196" w:rsidP="000F6196">
      <w:pPr>
        <w:pStyle w:val="Default"/>
        <w:jc w:val="both"/>
        <w:rPr>
          <w:sz w:val="22"/>
          <w:szCs w:val="22"/>
        </w:rPr>
      </w:pPr>
      <w:r>
        <w:rPr>
          <w:sz w:val="22"/>
          <w:szCs w:val="22"/>
        </w:rPr>
        <w:t xml:space="preserve">2. įvertinti, ar finansinė atskaitomybė parengta pagal Lietuvos Respublikoje galiojančius teisės aktus, reglamentuojančius buhalterinę apskaitą ir finansinės atskaitomybės sudarymą, taip pat kitus teisės aktus, </w:t>
      </w:r>
    </w:p>
    <w:p w14:paraId="3C0BF41D" w14:textId="77777777" w:rsidR="000F6196" w:rsidRDefault="000F6196" w:rsidP="000F6196">
      <w:pPr>
        <w:pStyle w:val="Default"/>
        <w:jc w:val="both"/>
        <w:rPr>
          <w:sz w:val="22"/>
          <w:szCs w:val="22"/>
        </w:rPr>
      </w:pPr>
      <w:r>
        <w:rPr>
          <w:sz w:val="22"/>
          <w:szCs w:val="22"/>
        </w:rPr>
        <w:t xml:space="preserve">3. įvertinti, ar parengtoje veiklos rezultatų ataskaitoje pateikti duomenys atitinka finansinės atskaitomybės duomenis; </w:t>
      </w:r>
    </w:p>
    <w:p w14:paraId="31A0CF8F" w14:textId="77777777" w:rsidR="000F6196" w:rsidRDefault="000F6196" w:rsidP="000F6196">
      <w:pPr>
        <w:pStyle w:val="Default"/>
        <w:jc w:val="both"/>
        <w:rPr>
          <w:sz w:val="22"/>
          <w:szCs w:val="22"/>
        </w:rPr>
      </w:pPr>
      <w:r>
        <w:rPr>
          <w:sz w:val="22"/>
          <w:szCs w:val="22"/>
        </w:rPr>
        <w:t xml:space="preserve">4. įvertinti, ar valdomo turto apskaita ir sudarytos finansinės ataskaitos atitinka Lietuvos Respublikos galiojančius teisės aktus, reglamentuojančius buhalterinę apskaitą ir finansinės atskaitomybės sudarymą. </w:t>
      </w:r>
    </w:p>
    <w:p w14:paraId="01475E52" w14:textId="77777777" w:rsidR="000F6196" w:rsidRDefault="000F6196" w:rsidP="000F6196">
      <w:pPr>
        <w:pStyle w:val="Default"/>
        <w:jc w:val="both"/>
        <w:rPr>
          <w:sz w:val="22"/>
          <w:szCs w:val="22"/>
        </w:rPr>
      </w:pPr>
    </w:p>
    <w:p w14:paraId="29FA1A33" w14:textId="77777777" w:rsidR="000F6196" w:rsidRDefault="000F6196" w:rsidP="000F6196">
      <w:pPr>
        <w:pStyle w:val="Default"/>
        <w:jc w:val="both"/>
        <w:rPr>
          <w:sz w:val="22"/>
          <w:szCs w:val="22"/>
        </w:rPr>
      </w:pPr>
      <w:r>
        <w:rPr>
          <w:sz w:val="22"/>
          <w:szCs w:val="22"/>
        </w:rPr>
        <w:t xml:space="preserve">Paslaugos teikėjo (toliau – Teikėjas) atliekamo audito tikslas yra deramai įsitikinti, ar finansinėse ataskaitose nėra reikšmingų informacijos iškraipymų. </w:t>
      </w:r>
    </w:p>
    <w:p w14:paraId="7ACBE905" w14:textId="77777777" w:rsidR="000F6196" w:rsidRDefault="000F6196" w:rsidP="000F6196">
      <w:pPr>
        <w:pStyle w:val="Default"/>
        <w:jc w:val="both"/>
        <w:rPr>
          <w:sz w:val="22"/>
          <w:szCs w:val="22"/>
        </w:rPr>
      </w:pPr>
    </w:p>
    <w:p w14:paraId="7BB76FFE" w14:textId="77777777" w:rsidR="000F6196" w:rsidRDefault="000F6196" w:rsidP="000F6196">
      <w:pPr>
        <w:pStyle w:val="Default"/>
        <w:jc w:val="both"/>
        <w:rPr>
          <w:sz w:val="22"/>
          <w:szCs w:val="22"/>
        </w:rPr>
      </w:pPr>
      <w:r>
        <w:rPr>
          <w:sz w:val="22"/>
          <w:szCs w:val="22"/>
        </w:rPr>
        <w:t xml:space="preserve">Teikėjas įsipareigoja planuoti auditą taip, kad turėtų pakankamas galimybes pastebėti reikšmingus finansinių ataskaitų ir apskaitos įrašų iškraipymus (tarp jų bet kokius reikšmingus informacijos iškraipymus, susidariusius dėl netinkamo finansinės apskaitos vykdymo ar įstatymų ir kitų teisės aktų pažeidimų). </w:t>
      </w:r>
    </w:p>
    <w:p w14:paraId="47505F94" w14:textId="77777777" w:rsidR="000F6196" w:rsidRDefault="000F6196" w:rsidP="000F6196">
      <w:pPr>
        <w:pStyle w:val="Default"/>
        <w:jc w:val="both"/>
        <w:rPr>
          <w:sz w:val="22"/>
          <w:szCs w:val="22"/>
        </w:rPr>
      </w:pPr>
    </w:p>
    <w:p w14:paraId="716F97CA" w14:textId="77777777" w:rsidR="000F6196" w:rsidRDefault="000F6196" w:rsidP="000F6196">
      <w:pPr>
        <w:pStyle w:val="Default"/>
        <w:jc w:val="both"/>
        <w:rPr>
          <w:sz w:val="22"/>
          <w:szCs w:val="22"/>
        </w:rPr>
      </w:pPr>
      <w:r>
        <w:rPr>
          <w:sz w:val="22"/>
          <w:szCs w:val="22"/>
        </w:rPr>
        <w:t xml:space="preserve">Auditas turi būti atliekamas vadovaujantis Tarptautinės buhalterių federacijos patvirtintais tarptautiniais standartais auditui, Lietuvos Respublikos audito įstatymu ir kitais teisės aktais, reglamentuojančiais auditą bei auditorių darbą. </w:t>
      </w:r>
    </w:p>
    <w:p w14:paraId="611F1738" w14:textId="77777777" w:rsidR="000F6196" w:rsidRDefault="000F6196" w:rsidP="000F6196">
      <w:pPr>
        <w:pStyle w:val="Default"/>
        <w:jc w:val="both"/>
        <w:rPr>
          <w:sz w:val="22"/>
          <w:szCs w:val="22"/>
        </w:rPr>
      </w:pPr>
    </w:p>
    <w:p w14:paraId="00CA9C7C" w14:textId="77777777" w:rsidR="000F6196" w:rsidRPr="0083738D" w:rsidRDefault="000F6196" w:rsidP="000F6196">
      <w:pPr>
        <w:pStyle w:val="Default"/>
        <w:jc w:val="both"/>
        <w:rPr>
          <w:b/>
          <w:sz w:val="22"/>
          <w:szCs w:val="22"/>
        </w:rPr>
      </w:pPr>
      <w:r>
        <w:rPr>
          <w:sz w:val="22"/>
          <w:szCs w:val="22"/>
        </w:rPr>
        <w:t>Kita informacija</w:t>
      </w:r>
      <w:r w:rsidR="0083738D">
        <w:rPr>
          <w:b/>
          <w:sz w:val="22"/>
          <w:szCs w:val="22"/>
        </w:rPr>
        <w:t xml:space="preserve"> (</w:t>
      </w:r>
      <w:r w:rsidR="0083738D" w:rsidRPr="0083738D">
        <w:rPr>
          <w:sz w:val="22"/>
          <w:szCs w:val="22"/>
        </w:rPr>
        <w:t>pateikta</w:t>
      </w:r>
      <w:r w:rsidR="0083738D">
        <w:rPr>
          <w:b/>
          <w:sz w:val="22"/>
          <w:szCs w:val="22"/>
        </w:rPr>
        <w:t xml:space="preserve"> </w:t>
      </w:r>
      <w:r w:rsidR="0083738D" w:rsidRPr="00DD5CFA">
        <w:rPr>
          <w:b/>
          <w:sz w:val="22"/>
          <w:szCs w:val="22"/>
        </w:rPr>
        <w:t>2025-09-30</w:t>
      </w:r>
      <w:r w:rsidR="0083738D" w:rsidRPr="0083738D">
        <w:rPr>
          <w:sz w:val="22"/>
          <w:szCs w:val="22"/>
        </w:rPr>
        <w:t xml:space="preserve"> duomenimis</w:t>
      </w:r>
      <w:r w:rsidR="0083738D">
        <w:rPr>
          <w:sz w:val="22"/>
          <w:szCs w:val="22"/>
        </w:rPr>
        <w:t>)</w:t>
      </w:r>
      <w:r>
        <w:rPr>
          <w:sz w:val="22"/>
          <w:szCs w:val="22"/>
        </w:rPr>
        <w:t xml:space="preserve">: </w:t>
      </w:r>
    </w:p>
    <w:p w14:paraId="77E1EC0D" w14:textId="77777777" w:rsidR="000F6196" w:rsidRDefault="000F6196" w:rsidP="000F6196">
      <w:pPr>
        <w:pStyle w:val="Default"/>
        <w:spacing w:after="76"/>
        <w:rPr>
          <w:sz w:val="22"/>
          <w:szCs w:val="22"/>
        </w:rPr>
      </w:pPr>
      <w:r>
        <w:rPr>
          <w:sz w:val="22"/>
          <w:szCs w:val="22"/>
        </w:rPr>
        <w:t xml:space="preserve"> Darbuotojų skaičius viso – </w:t>
      </w:r>
      <w:r w:rsidR="00DD5CFA">
        <w:rPr>
          <w:sz w:val="22"/>
          <w:szCs w:val="22"/>
        </w:rPr>
        <w:t>311</w:t>
      </w:r>
      <w:r>
        <w:rPr>
          <w:sz w:val="22"/>
          <w:szCs w:val="22"/>
        </w:rPr>
        <w:t xml:space="preserve">  </w:t>
      </w:r>
    </w:p>
    <w:p w14:paraId="3129B8F8" w14:textId="77777777" w:rsidR="000F6196" w:rsidRDefault="000F6196" w:rsidP="000F6196">
      <w:pPr>
        <w:pStyle w:val="Default"/>
        <w:spacing w:after="76"/>
        <w:rPr>
          <w:sz w:val="22"/>
          <w:szCs w:val="22"/>
        </w:rPr>
      </w:pPr>
      <w:r>
        <w:rPr>
          <w:sz w:val="22"/>
          <w:szCs w:val="22"/>
        </w:rPr>
        <w:t> Preliminari balanso aktyvo / pasyvo tikrinama suma praėjusiais metais –</w:t>
      </w:r>
      <w:r w:rsidR="00DD5CFA">
        <w:rPr>
          <w:color w:val="212121"/>
          <w:sz w:val="22"/>
          <w:szCs w:val="22"/>
        </w:rPr>
        <w:t xml:space="preserve"> 4 017 776,22 Eur.</w:t>
      </w:r>
      <w:r>
        <w:rPr>
          <w:sz w:val="22"/>
          <w:szCs w:val="22"/>
        </w:rPr>
        <w:t xml:space="preserve"> </w:t>
      </w:r>
    </w:p>
    <w:p w14:paraId="28A9C60E" w14:textId="77777777" w:rsidR="000F6196" w:rsidRDefault="000F6196" w:rsidP="000F6196">
      <w:pPr>
        <w:pStyle w:val="Default"/>
        <w:spacing w:after="76"/>
        <w:rPr>
          <w:sz w:val="22"/>
          <w:szCs w:val="22"/>
        </w:rPr>
      </w:pPr>
      <w:r>
        <w:rPr>
          <w:sz w:val="22"/>
          <w:szCs w:val="22"/>
        </w:rPr>
        <w:t xml:space="preserve"> Pajamos praėjusiais metais – </w:t>
      </w:r>
      <w:r w:rsidR="00DD5CFA">
        <w:rPr>
          <w:sz w:val="22"/>
          <w:szCs w:val="22"/>
        </w:rPr>
        <w:t>8 115 989,23.</w:t>
      </w:r>
      <w:r>
        <w:rPr>
          <w:sz w:val="22"/>
          <w:szCs w:val="22"/>
        </w:rPr>
        <w:t xml:space="preserve"> Eur. </w:t>
      </w:r>
    </w:p>
    <w:p w14:paraId="141FD743" w14:textId="77777777" w:rsidR="000F6196" w:rsidRDefault="000F6196" w:rsidP="000F6196">
      <w:pPr>
        <w:pStyle w:val="Default"/>
        <w:spacing w:after="76"/>
        <w:rPr>
          <w:sz w:val="22"/>
          <w:szCs w:val="22"/>
        </w:rPr>
      </w:pPr>
      <w:r>
        <w:rPr>
          <w:sz w:val="22"/>
          <w:szCs w:val="22"/>
        </w:rPr>
        <w:t xml:space="preserve"> Ilgalaikis turtas (likutinė vertė praėjusių metų gruodžio 31 d.) – </w:t>
      </w:r>
      <w:r w:rsidR="00DD5CFA">
        <w:rPr>
          <w:sz w:val="22"/>
          <w:szCs w:val="22"/>
        </w:rPr>
        <w:t xml:space="preserve">2 200 702,76 </w:t>
      </w:r>
      <w:r>
        <w:rPr>
          <w:sz w:val="22"/>
          <w:szCs w:val="22"/>
        </w:rPr>
        <w:t xml:space="preserve"> Eur. </w:t>
      </w:r>
    </w:p>
    <w:p w14:paraId="2491E674" w14:textId="77777777" w:rsidR="000F6196" w:rsidRDefault="000F6196" w:rsidP="000F6196">
      <w:pPr>
        <w:pStyle w:val="Default"/>
        <w:spacing w:after="76"/>
        <w:rPr>
          <w:color w:val="212121"/>
          <w:sz w:val="22"/>
          <w:szCs w:val="22"/>
        </w:rPr>
      </w:pPr>
      <w:r>
        <w:rPr>
          <w:sz w:val="22"/>
          <w:szCs w:val="22"/>
        </w:rPr>
        <w:t xml:space="preserve"> </w:t>
      </w:r>
      <w:r>
        <w:rPr>
          <w:color w:val="212121"/>
          <w:sz w:val="22"/>
          <w:szCs w:val="22"/>
        </w:rPr>
        <w:t xml:space="preserve">Įsipareigojimas </w:t>
      </w:r>
      <w:r>
        <w:rPr>
          <w:b/>
          <w:bCs/>
          <w:color w:val="212121"/>
          <w:sz w:val="22"/>
          <w:szCs w:val="22"/>
        </w:rPr>
        <w:t xml:space="preserve">tiekėjams </w:t>
      </w:r>
      <w:r>
        <w:rPr>
          <w:color w:val="212121"/>
          <w:sz w:val="22"/>
          <w:szCs w:val="22"/>
        </w:rPr>
        <w:t xml:space="preserve">(praėjusių metų gruodžio 31 d.) </w:t>
      </w:r>
      <w:r w:rsidR="00DD5CFA">
        <w:rPr>
          <w:color w:val="212121"/>
          <w:sz w:val="22"/>
          <w:szCs w:val="22"/>
        </w:rPr>
        <w:t>–</w:t>
      </w:r>
      <w:r>
        <w:rPr>
          <w:color w:val="212121"/>
          <w:sz w:val="22"/>
          <w:szCs w:val="22"/>
        </w:rPr>
        <w:t xml:space="preserve"> </w:t>
      </w:r>
      <w:r w:rsidR="00DD5CFA">
        <w:rPr>
          <w:color w:val="212121"/>
          <w:sz w:val="22"/>
          <w:szCs w:val="22"/>
        </w:rPr>
        <w:t>357 827,30</w:t>
      </w:r>
      <w:r>
        <w:rPr>
          <w:color w:val="212121"/>
          <w:sz w:val="22"/>
          <w:szCs w:val="22"/>
        </w:rPr>
        <w:t xml:space="preserve"> Eur. </w:t>
      </w:r>
    </w:p>
    <w:p w14:paraId="0C42C410" w14:textId="77777777" w:rsidR="000F6196" w:rsidRDefault="000F6196" w:rsidP="000F6196">
      <w:pPr>
        <w:pStyle w:val="Default"/>
        <w:spacing w:after="76"/>
        <w:rPr>
          <w:sz w:val="22"/>
          <w:szCs w:val="22"/>
        </w:rPr>
      </w:pPr>
      <w:r>
        <w:rPr>
          <w:sz w:val="22"/>
          <w:szCs w:val="22"/>
        </w:rPr>
        <w:t xml:space="preserve"> Užsakovo pajamų šaltinis – Valstybės lėšos, Privalomojo sveikatos draudimo biudžeto fondo lėšos, Savivaldybės lėšos, Europos Sąjungos ir kitų fondų lėšos, nuosavos lėšos. </w:t>
      </w:r>
    </w:p>
    <w:p w14:paraId="78685E12" w14:textId="77777777" w:rsidR="000F6196" w:rsidRDefault="000F6196" w:rsidP="000F6196">
      <w:pPr>
        <w:pStyle w:val="Default"/>
        <w:rPr>
          <w:color w:val="212121"/>
          <w:sz w:val="22"/>
          <w:szCs w:val="22"/>
        </w:rPr>
      </w:pPr>
      <w:r>
        <w:rPr>
          <w:sz w:val="22"/>
          <w:szCs w:val="22"/>
        </w:rPr>
        <w:t xml:space="preserve"> Naudojama buhalterinės apskaitos programa – </w:t>
      </w:r>
      <w:proofErr w:type="spellStart"/>
      <w:r>
        <w:rPr>
          <w:b/>
          <w:bCs/>
          <w:sz w:val="22"/>
          <w:szCs w:val="22"/>
        </w:rPr>
        <w:t>Finvalda</w:t>
      </w:r>
      <w:proofErr w:type="spellEnd"/>
      <w:r>
        <w:rPr>
          <w:color w:val="212121"/>
          <w:sz w:val="23"/>
          <w:szCs w:val="23"/>
        </w:rPr>
        <w:t xml:space="preserve">, programa: </w:t>
      </w:r>
      <w:proofErr w:type="spellStart"/>
      <w:r>
        <w:rPr>
          <w:b/>
          <w:bCs/>
          <w:color w:val="212121"/>
          <w:sz w:val="22"/>
          <w:szCs w:val="22"/>
        </w:rPr>
        <w:t>Prorūna</w:t>
      </w:r>
      <w:proofErr w:type="spellEnd"/>
      <w:r>
        <w:rPr>
          <w:b/>
          <w:bCs/>
          <w:color w:val="212121"/>
          <w:sz w:val="22"/>
          <w:szCs w:val="22"/>
        </w:rPr>
        <w:t xml:space="preserve">. </w:t>
      </w:r>
    </w:p>
    <w:p w14:paraId="56EDC496" w14:textId="77777777" w:rsidR="000F6196" w:rsidRDefault="000F6196" w:rsidP="000F6196">
      <w:pPr>
        <w:pStyle w:val="Default"/>
        <w:rPr>
          <w:color w:val="212121"/>
          <w:sz w:val="22"/>
          <w:szCs w:val="22"/>
        </w:rPr>
      </w:pPr>
    </w:p>
    <w:p w14:paraId="7A9B85A1" w14:textId="77777777" w:rsidR="000F6196" w:rsidRDefault="000F6196" w:rsidP="000F6196">
      <w:pPr>
        <w:pStyle w:val="Default"/>
        <w:rPr>
          <w:sz w:val="22"/>
          <w:szCs w:val="22"/>
        </w:rPr>
      </w:pPr>
      <w:r>
        <w:rPr>
          <w:sz w:val="22"/>
          <w:szCs w:val="22"/>
        </w:rPr>
        <w:t xml:space="preserve">Paslaugos turi atitikti žemiau nurodomą kriterijų: </w:t>
      </w:r>
    </w:p>
    <w:p w14:paraId="3B627B35" w14:textId="77777777" w:rsidR="000F6196" w:rsidRDefault="000F6196" w:rsidP="000F6196">
      <w:pPr>
        <w:pStyle w:val="Default"/>
        <w:rPr>
          <w:sz w:val="22"/>
          <w:szCs w:val="22"/>
        </w:rPr>
      </w:pPr>
      <w:r>
        <w:rPr>
          <w:sz w:val="22"/>
          <w:szCs w:val="22"/>
        </w:rPr>
        <w:t xml:space="preserve">1. Nematerialaus pobūdžio paslauga, kaip ji apibrėžta aktualios redakcijos Aplinkos apsaugos kriterijų taikymo, vykdant žaliuosius pirkimus, tvarkos aprašo, patvirtinto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p>
    <w:p w14:paraId="4C1D74B3" w14:textId="77777777" w:rsidR="00A13509" w:rsidRDefault="000F6196" w:rsidP="00720D52">
      <w:pPr>
        <w:jc w:val="center"/>
      </w:pPr>
      <w:r>
        <w:t>___________________</w:t>
      </w:r>
    </w:p>
    <w:sectPr w:rsidR="00A1350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196"/>
    <w:rsid w:val="000F6196"/>
    <w:rsid w:val="00137760"/>
    <w:rsid w:val="00400880"/>
    <w:rsid w:val="006A50DF"/>
    <w:rsid w:val="00720D52"/>
    <w:rsid w:val="0083738D"/>
    <w:rsid w:val="009A2087"/>
    <w:rsid w:val="00A13509"/>
    <w:rsid w:val="00DD5C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811B9"/>
  <w15:chartTrackingRefBased/>
  <w15:docId w15:val="{762355AB-08BD-4D4A-918A-58DFA409F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0F619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1898</Words>
  <Characters>1082</Characters>
  <Application>Microsoft Office Word</Application>
  <DocSecurity>0</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Paulius Pocevičius</cp:lastModifiedBy>
  <cp:revision>4</cp:revision>
  <dcterms:created xsi:type="dcterms:W3CDTF">2025-10-30T20:31:00Z</dcterms:created>
  <dcterms:modified xsi:type="dcterms:W3CDTF">2025-11-06T07:49:00Z</dcterms:modified>
</cp:coreProperties>
</file>