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A779ED" w:rsidRDefault="00692362" w:rsidP="00DC0AA3">
      <w:pPr>
        <w:tabs>
          <w:tab w:val="left" w:pos="709"/>
          <w:tab w:val="left" w:pos="851"/>
          <w:tab w:val="left" w:pos="993"/>
        </w:tabs>
        <w:spacing w:before="120" w:after="480"/>
        <w:jc w:val="right"/>
      </w:pPr>
      <w:r w:rsidRPr="00A779ED">
        <w:t>Priedas Nr. 2</w:t>
      </w:r>
    </w:p>
    <w:p w:rsidR="00320E72" w:rsidRDefault="00692362" w:rsidP="00E6388F">
      <w:pPr>
        <w:tabs>
          <w:tab w:val="left" w:pos="709"/>
          <w:tab w:val="left" w:pos="851"/>
          <w:tab w:val="left" w:pos="993"/>
        </w:tabs>
        <w:jc w:val="center"/>
        <w:rPr>
          <w:b/>
        </w:rPr>
      </w:pPr>
      <w:r w:rsidRPr="00A779ED">
        <w:rPr>
          <w:b/>
        </w:rPr>
        <w:t>TECHNINĖ SPECIFIKACIJA</w:t>
      </w:r>
    </w:p>
    <w:p w:rsidR="00E6388F" w:rsidRPr="00E6388F" w:rsidRDefault="00E6388F" w:rsidP="00E6388F">
      <w:pPr>
        <w:tabs>
          <w:tab w:val="left" w:pos="709"/>
          <w:tab w:val="left" w:pos="851"/>
          <w:tab w:val="left" w:pos="993"/>
        </w:tabs>
        <w:jc w:val="center"/>
        <w:rPr>
          <w:b/>
        </w:rPr>
      </w:pPr>
    </w:p>
    <w:p w:rsidR="00E6388F" w:rsidRPr="0059564F" w:rsidRDefault="00E6388F" w:rsidP="00E6388F">
      <w:pPr>
        <w:autoSpaceDE w:val="0"/>
        <w:autoSpaceDN w:val="0"/>
        <w:adjustRightInd w:val="0"/>
        <w:jc w:val="center"/>
        <w:rPr>
          <w:rFonts w:eastAsiaTheme="minorHAnsi"/>
          <w:b/>
          <w:bCs/>
        </w:rPr>
      </w:pPr>
      <w:r w:rsidRPr="0059564F">
        <w:rPr>
          <w:rFonts w:eastAsiaTheme="minorHAnsi"/>
          <w:b/>
          <w:bCs/>
        </w:rPr>
        <w:t xml:space="preserve">VISUREIGIO </w:t>
      </w:r>
      <w:r w:rsidRPr="0059564F">
        <w:rPr>
          <w:b/>
          <w:shd w:val="clear" w:color="auto" w:fill="FFFFFF"/>
        </w:rPr>
        <w:t xml:space="preserve">JLTV (angl. </w:t>
      </w:r>
      <w:proofErr w:type="spellStart"/>
      <w:r w:rsidRPr="0059564F">
        <w:rPr>
          <w:b/>
          <w:shd w:val="clear" w:color="auto" w:fill="FFFFFF"/>
        </w:rPr>
        <w:t>Joint</w:t>
      </w:r>
      <w:proofErr w:type="spellEnd"/>
      <w:r w:rsidRPr="0059564F">
        <w:rPr>
          <w:b/>
          <w:shd w:val="clear" w:color="auto" w:fill="FFFFFF"/>
        </w:rPr>
        <w:t xml:space="preserve"> </w:t>
      </w:r>
      <w:proofErr w:type="spellStart"/>
      <w:r w:rsidRPr="0059564F">
        <w:rPr>
          <w:b/>
          <w:shd w:val="clear" w:color="auto" w:fill="FFFFFF"/>
        </w:rPr>
        <w:t>Light</w:t>
      </w:r>
      <w:proofErr w:type="spellEnd"/>
      <w:r w:rsidRPr="0059564F">
        <w:rPr>
          <w:b/>
          <w:shd w:val="clear" w:color="auto" w:fill="FFFFFF"/>
        </w:rPr>
        <w:t xml:space="preserve"> </w:t>
      </w:r>
      <w:proofErr w:type="spellStart"/>
      <w:r w:rsidRPr="0059564F">
        <w:rPr>
          <w:b/>
          <w:shd w:val="clear" w:color="auto" w:fill="FFFFFF"/>
        </w:rPr>
        <w:t>Tactical</w:t>
      </w:r>
      <w:proofErr w:type="spellEnd"/>
      <w:r w:rsidRPr="0059564F">
        <w:rPr>
          <w:b/>
          <w:shd w:val="clear" w:color="auto" w:fill="FFFFFF"/>
        </w:rPr>
        <w:t xml:space="preserve"> </w:t>
      </w:r>
      <w:proofErr w:type="spellStart"/>
      <w:r w:rsidRPr="0059564F">
        <w:rPr>
          <w:b/>
          <w:shd w:val="clear" w:color="auto" w:fill="FFFFFF"/>
        </w:rPr>
        <w:t>Vehicle</w:t>
      </w:r>
      <w:proofErr w:type="spellEnd"/>
      <w:r w:rsidRPr="0059564F">
        <w:rPr>
          <w:b/>
          <w:shd w:val="clear" w:color="auto" w:fill="FFFFFF"/>
        </w:rPr>
        <w:t>)</w:t>
      </w:r>
      <w:r w:rsidRPr="0059564F">
        <w:rPr>
          <w:b/>
        </w:rPr>
        <w:t xml:space="preserve"> </w:t>
      </w:r>
      <w:r w:rsidRPr="0059564F">
        <w:rPr>
          <w:rFonts w:eastAsiaTheme="minorHAnsi"/>
          <w:b/>
          <w:bCs/>
        </w:rPr>
        <w:t>MASKUOJANČIO TINKLO</w:t>
      </w:r>
    </w:p>
    <w:p w:rsidR="00E6388F" w:rsidRDefault="00E6388F" w:rsidP="00E6388F">
      <w:pPr>
        <w:autoSpaceDE w:val="0"/>
        <w:autoSpaceDN w:val="0"/>
        <w:adjustRightInd w:val="0"/>
        <w:jc w:val="center"/>
        <w:rPr>
          <w:rFonts w:eastAsiaTheme="minorHAnsi"/>
          <w:b/>
          <w:bCs/>
        </w:rPr>
      </w:pPr>
      <w:r w:rsidRPr="0059564F">
        <w:rPr>
          <w:rFonts w:eastAsiaTheme="minorHAnsi"/>
          <w:b/>
          <w:bCs/>
        </w:rPr>
        <w:t>TECHNINĖ SPECIFIKACIJA</w:t>
      </w:r>
    </w:p>
    <w:p w:rsidR="00E6388F" w:rsidRPr="00E6388F" w:rsidRDefault="00E6388F" w:rsidP="00E6388F">
      <w:pPr>
        <w:autoSpaceDE w:val="0"/>
        <w:autoSpaceDN w:val="0"/>
        <w:adjustRightInd w:val="0"/>
        <w:jc w:val="center"/>
        <w:rPr>
          <w:rFonts w:eastAsiaTheme="minorHAnsi"/>
          <w:b/>
          <w:bCs/>
        </w:rPr>
      </w:pPr>
      <w:r>
        <w:rPr>
          <w:rFonts w:eastAsiaTheme="minorHAnsi"/>
          <w:b/>
          <w:bCs/>
        </w:rPr>
        <w:t xml:space="preserve">BVPŽ kodas: </w:t>
      </w:r>
      <w:r w:rsidRPr="0059564F">
        <w:rPr>
          <w:rFonts w:eastAsiaTheme="minorHAnsi"/>
          <w:b/>
          <w:bCs/>
        </w:rPr>
        <w:t>39522200-9</w:t>
      </w:r>
    </w:p>
    <w:p w:rsidR="00E6388F" w:rsidRPr="0059564F" w:rsidRDefault="00E6388F" w:rsidP="00E6388F">
      <w:pPr>
        <w:pStyle w:val="ListParagraph"/>
        <w:spacing w:line="360" w:lineRule="auto"/>
        <w:ind w:left="709" w:hanging="284"/>
        <w:jc w:val="both"/>
        <w:rPr>
          <w:b/>
          <w:bCs/>
          <w:color w:val="000000" w:themeColor="text1"/>
        </w:rPr>
      </w:pPr>
      <w:r w:rsidRPr="0059564F">
        <w:rPr>
          <w:b/>
          <w:bCs/>
          <w:color w:val="000000" w:themeColor="text1"/>
        </w:rPr>
        <w:t>Sąvokos</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VIS (</w:t>
      </w:r>
      <w:proofErr w:type="spellStart"/>
      <w:r w:rsidRPr="0059564F">
        <w:rPr>
          <w:bCs/>
          <w:color w:val="0D0D0D" w:themeColor="text1" w:themeTint="F2"/>
        </w:rPr>
        <w:t>visibility</w:t>
      </w:r>
      <w:proofErr w:type="spellEnd"/>
      <w:r w:rsidRPr="0059564F">
        <w:rPr>
          <w:bCs/>
          <w:color w:val="0D0D0D" w:themeColor="text1" w:themeTint="F2"/>
        </w:rPr>
        <w:t>) – atstumas, kuriuo duotas standartinis objektas gali būti matomas ir identifikuojamas plika akimi.</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TIR</w:t>
      </w:r>
      <w:r w:rsidRPr="0059564F">
        <w:t xml:space="preserve"> (</w:t>
      </w:r>
      <w:proofErr w:type="spellStart"/>
      <w:r w:rsidRPr="0059564F">
        <w:t>Thermal</w:t>
      </w:r>
      <w:proofErr w:type="spellEnd"/>
      <w:r w:rsidRPr="0059564F">
        <w:t xml:space="preserve"> </w:t>
      </w:r>
      <w:proofErr w:type="spellStart"/>
      <w:r w:rsidRPr="0059564F">
        <w:t>infrared</w:t>
      </w:r>
      <w:proofErr w:type="spellEnd"/>
      <w:r w:rsidRPr="0059564F">
        <w:t>) – yra vaizdo gavimo technika, kuri naudoja infraraudonųjų spindulių diapazono kameras duomenims, kurie tiesiogiai parodo fiksuojam</w:t>
      </w:r>
      <w:bookmarkStart w:id="0" w:name="_GoBack"/>
      <w:bookmarkEnd w:id="0"/>
      <w:r w:rsidRPr="0059564F">
        <w:t>o reljefo infraraudonųjų spindulių ženklą.</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NIR (</w:t>
      </w:r>
      <w:proofErr w:type="spellStart"/>
      <w:r w:rsidRPr="0059564F">
        <w:rPr>
          <w:bCs/>
          <w:color w:val="0D0D0D" w:themeColor="text1" w:themeTint="F2"/>
        </w:rPr>
        <w:t>Near</w:t>
      </w:r>
      <w:proofErr w:type="spellEnd"/>
      <w:r w:rsidRPr="0059564F">
        <w:rPr>
          <w:bCs/>
          <w:color w:val="0D0D0D" w:themeColor="text1" w:themeTint="F2"/>
        </w:rPr>
        <w:t xml:space="preserve"> </w:t>
      </w:r>
      <w:proofErr w:type="spellStart"/>
      <w:r w:rsidRPr="0059564F">
        <w:rPr>
          <w:bCs/>
          <w:color w:val="0D0D0D" w:themeColor="text1" w:themeTint="F2"/>
        </w:rPr>
        <w:t>infrared</w:t>
      </w:r>
      <w:proofErr w:type="spellEnd"/>
      <w:r w:rsidRPr="0059564F">
        <w:rPr>
          <w:bCs/>
          <w:color w:val="0D0D0D" w:themeColor="text1" w:themeTint="F2"/>
        </w:rPr>
        <w:t>) – yra elektromagnetinio spektro infraraudonųjų spindulių juostos pogrupis, apimantis bangų ilgius nuo 0,7 iki 1,4 mikrono. Šis bangos ilgis yra tiesiog už žmogaus matomo diapazono ribų ir kartais gali pasiūlyti aiškesnių detalių nei tai, ką galima pasiekti vaizduojant matomą šviesą.</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SWIR (</w:t>
      </w:r>
      <w:proofErr w:type="spellStart"/>
      <w:r w:rsidRPr="0059564F">
        <w:rPr>
          <w:bCs/>
          <w:color w:val="0D0D0D" w:themeColor="text1" w:themeTint="F2"/>
        </w:rPr>
        <w:t>Short</w:t>
      </w:r>
      <w:proofErr w:type="spellEnd"/>
      <w:r w:rsidRPr="0059564F">
        <w:rPr>
          <w:bCs/>
          <w:color w:val="0D0D0D" w:themeColor="text1" w:themeTint="F2"/>
        </w:rPr>
        <w:t xml:space="preserve"> </w:t>
      </w:r>
      <w:proofErr w:type="spellStart"/>
      <w:r w:rsidRPr="0059564F">
        <w:rPr>
          <w:bCs/>
          <w:color w:val="0D0D0D" w:themeColor="text1" w:themeTint="F2"/>
        </w:rPr>
        <w:t>wave</w:t>
      </w:r>
      <w:proofErr w:type="spellEnd"/>
      <w:r w:rsidRPr="0059564F">
        <w:rPr>
          <w:bCs/>
          <w:color w:val="0D0D0D" w:themeColor="text1" w:themeTint="F2"/>
        </w:rPr>
        <w:t xml:space="preserve"> </w:t>
      </w:r>
      <w:proofErr w:type="spellStart"/>
      <w:r w:rsidRPr="0059564F">
        <w:rPr>
          <w:bCs/>
          <w:color w:val="0D0D0D" w:themeColor="text1" w:themeTint="F2"/>
        </w:rPr>
        <w:t>infrared</w:t>
      </w:r>
      <w:proofErr w:type="spellEnd"/>
      <w:r w:rsidRPr="0059564F">
        <w:rPr>
          <w:bCs/>
          <w:color w:val="0D0D0D" w:themeColor="text1" w:themeTint="F2"/>
        </w:rPr>
        <w:t>) – Trumpųjų infraraudonųjų spindulių bangų pogrupis, apimantis bangų ilgius nuo 1,4 iki 2,5 mikrono. Trumpųjų infraraudonųjų spindulių bangų jutikliai yra ypač jautrūs šviesai ir suteikia didelės raiškos vaizdus labai prasto apšvietimo sąlygomis. Šie jutikliai gali lengvai pastebėti lazerio spindulius iš lazerius spinduliuojančių prietaisų.</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RR (</w:t>
      </w:r>
      <w:proofErr w:type="spellStart"/>
      <w:r w:rsidRPr="0059564F">
        <w:rPr>
          <w:bCs/>
          <w:color w:val="0D0D0D" w:themeColor="text1" w:themeTint="F2"/>
        </w:rPr>
        <w:t>Radar</w:t>
      </w:r>
      <w:proofErr w:type="spellEnd"/>
      <w:r w:rsidRPr="0059564F">
        <w:rPr>
          <w:bCs/>
          <w:color w:val="0D0D0D" w:themeColor="text1" w:themeTint="F2"/>
        </w:rPr>
        <w:t xml:space="preserve"> </w:t>
      </w:r>
      <w:proofErr w:type="spellStart"/>
      <w:r w:rsidRPr="0059564F">
        <w:rPr>
          <w:bCs/>
          <w:color w:val="0D0D0D" w:themeColor="text1" w:themeTint="F2"/>
        </w:rPr>
        <w:t>and</w:t>
      </w:r>
      <w:proofErr w:type="spellEnd"/>
      <w:r w:rsidRPr="0059564F">
        <w:rPr>
          <w:bCs/>
          <w:color w:val="0D0D0D" w:themeColor="text1" w:themeTint="F2"/>
        </w:rPr>
        <w:t xml:space="preserve"> </w:t>
      </w:r>
      <w:proofErr w:type="spellStart"/>
      <w:r w:rsidRPr="0059564F">
        <w:rPr>
          <w:bCs/>
          <w:color w:val="0D0D0D" w:themeColor="text1" w:themeTint="F2"/>
        </w:rPr>
        <w:t>ranging</w:t>
      </w:r>
      <w:proofErr w:type="spellEnd"/>
      <w:r w:rsidRPr="0059564F">
        <w:rPr>
          <w:bCs/>
          <w:color w:val="0D0D0D" w:themeColor="text1" w:themeTint="F2"/>
        </w:rPr>
        <w:t>) -</w:t>
      </w:r>
      <w:r w:rsidRPr="0059564F">
        <w:t xml:space="preserve"> </w:t>
      </w:r>
      <w:r w:rsidRPr="0059564F">
        <w:rPr>
          <w:bCs/>
          <w:color w:val="0D0D0D" w:themeColor="text1" w:themeTint="F2"/>
        </w:rPr>
        <w:t>Radaro (radijo aptikimo ir nuotolio nustatymo) sistemos naudoja radijo bangas objektų diapazonui, krypčiai ir greičiui nustatyti. Tai pasiekiama skleidžiant spinduliuotę ir paimant informaciją iš atspindėtos spinduliuotės.</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202122"/>
          <w:shd w:val="clear" w:color="auto" w:fill="FFFFFF"/>
        </w:rPr>
        <w:t>SAR (</w:t>
      </w:r>
      <w:proofErr w:type="spellStart"/>
      <w:r w:rsidRPr="0059564F">
        <w:rPr>
          <w:bCs/>
          <w:color w:val="202122"/>
          <w:shd w:val="clear" w:color="auto" w:fill="FFFFFF"/>
        </w:rPr>
        <w:t>Synthetic-aperture</w:t>
      </w:r>
      <w:proofErr w:type="spellEnd"/>
      <w:r w:rsidRPr="0059564F">
        <w:rPr>
          <w:bCs/>
          <w:color w:val="202122"/>
          <w:shd w:val="clear" w:color="auto" w:fill="FFFFFF"/>
        </w:rPr>
        <w:t xml:space="preserve"> </w:t>
      </w:r>
      <w:proofErr w:type="spellStart"/>
      <w:r w:rsidRPr="0059564F">
        <w:rPr>
          <w:bCs/>
          <w:color w:val="202122"/>
          <w:shd w:val="clear" w:color="auto" w:fill="FFFFFF"/>
        </w:rPr>
        <w:t>radar</w:t>
      </w:r>
      <w:proofErr w:type="spellEnd"/>
      <w:r w:rsidRPr="0059564F">
        <w:rPr>
          <w:bCs/>
          <w:color w:val="202122"/>
          <w:shd w:val="clear" w:color="auto" w:fill="FFFFFF"/>
        </w:rPr>
        <w:t xml:space="preserve">) – Sintetinės diafragmos radaras (SAR) yra radaro forma, naudojama kuriant dvimačius vaizdus arba trimačius objektų. SAR naudoja radaro antenos judėjimą virš tikslinės srities, kad būtų užtikrinta geresnė erdvinė skiriamoji geba nei įprasti stacionarūs spindulių skenavimo radarai. </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 xml:space="preserve">Ugnies valdymo radaras (FCR) – tai radaras, specialiai sukurtas teikti informaciją (daugiausia taikinio </w:t>
      </w:r>
      <w:proofErr w:type="spellStart"/>
      <w:r w:rsidRPr="0059564F">
        <w:rPr>
          <w:bCs/>
          <w:color w:val="0D0D0D" w:themeColor="text1" w:themeTint="F2"/>
        </w:rPr>
        <w:t>azimutą</w:t>
      </w:r>
      <w:proofErr w:type="spellEnd"/>
      <w:r w:rsidRPr="0059564F">
        <w:rPr>
          <w:bCs/>
          <w:color w:val="0D0D0D" w:themeColor="text1" w:themeTint="F2"/>
        </w:rPr>
        <w:t>, aukštį, atstumą ir greitį) ugnies valdymo sistemai, siekiant nukreipti ginklus taip, kad jie pataikytų į taikinį.</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Taikinio ieškančios raketos - valdoma raketa kuri naudoja radaro siųstuvą-imtuvą, kad galėtų savarankiškai rasti ir sekti savo taikinį</w:t>
      </w:r>
    </w:p>
    <w:p w:rsidR="00E6388F" w:rsidRPr="0059564F" w:rsidRDefault="00E6388F" w:rsidP="00E6388F">
      <w:pPr>
        <w:pStyle w:val="ListParagraph"/>
        <w:numPr>
          <w:ilvl w:val="1"/>
          <w:numId w:val="33"/>
        </w:numPr>
        <w:spacing w:line="360" w:lineRule="auto"/>
        <w:ind w:left="709" w:hanging="426"/>
        <w:jc w:val="both"/>
        <w:rPr>
          <w:bCs/>
          <w:color w:val="0D0D0D" w:themeColor="text1" w:themeTint="F2"/>
        </w:rPr>
      </w:pPr>
      <w:r w:rsidRPr="0059564F">
        <w:rPr>
          <w:bCs/>
          <w:color w:val="0D0D0D" w:themeColor="text1" w:themeTint="F2"/>
        </w:rPr>
        <w:t xml:space="preserve"> Maskuojantis tinklas – yra maskuojančių tinklų sistema, kuri susideda iš mobilios ir statinės tinklų sistemų.</w:t>
      </w:r>
    </w:p>
    <w:p w:rsidR="00E6388F" w:rsidRPr="0059564F" w:rsidRDefault="00E6388F" w:rsidP="00E6388F">
      <w:pPr>
        <w:pStyle w:val="ListParagraph"/>
        <w:numPr>
          <w:ilvl w:val="1"/>
          <w:numId w:val="33"/>
        </w:numPr>
        <w:tabs>
          <w:tab w:val="left" w:pos="426"/>
        </w:tabs>
        <w:spacing w:line="360" w:lineRule="auto"/>
        <w:ind w:left="709" w:hanging="426"/>
        <w:jc w:val="both"/>
        <w:rPr>
          <w:bCs/>
          <w:color w:val="0D0D0D" w:themeColor="text1" w:themeTint="F2"/>
        </w:rPr>
      </w:pPr>
      <w:r w:rsidRPr="0059564F">
        <w:rPr>
          <w:bCs/>
          <w:color w:val="0D0D0D" w:themeColor="text1" w:themeTint="F2"/>
        </w:rPr>
        <w:t xml:space="preserve">Mobilios tinklų maskuotės sistema (toliau – MTMS) –  </w:t>
      </w:r>
      <w:proofErr w:type="spellStart"/>
      <w:r w:rsidRPr="0059564F">
        <w:rPr>
          <w:bCs/>
          <w:color w:val="0D0D0D" w:themeColor="text1" w:themeTint="F2"/>
        </w:rPr>
        <w:t>daugiaspektrinis</w:t>
      </w:r>
      <w:proofErr w:type="spellEnd"/>
      <w:r w:rsidRPr="0059564F">
        <w:rPr>
          <w:bCs/>
          <w:color w:val="0D0D0D" w:themeColor="text1" w:themeTint="F2"/>
        </w:rPr>
        <w:t xml:space="preserve"> kamufliažinis tinklas, skirtas naudoti virš transporto priemonių, ginklų, orlaivių ir kt., su tikslu paslėpti objektą nuo vizualaus pastabumo jį suliejant su aplinka bei apsaugotų nuo artimų infraraudonųjų spindulių, šiluminių </w:t>
      </w:r>
      <w:r w:rsidRPr="0059564F">
        <w:rPr>
          <w:bCs/>
          <w:color w:val="0D0D0D" w:themeColor="text1" w:themeTint="F2"/>
        </w:rPr>
        <w:lastRenderedPageBreak/>
        <w:t xml:space="preserve">stebėjimo prietaisų ir plačiajuosčių ryšių radarų žvalgybos. Tvirtinimas ant visureigio </w:t>
      </w:r>
      <w:r w:rsidRPr="0059564F">
        <w:t>JLTV OSHKOSH M1278A1</w:t>
      </w:r>
      <w:r w:rsidRPr="0059564F">
        <w:rPr>
          <w:bCs/>
        </w:rPr>
        <w:t xml:space="preserve">. </w:t>
      </w:r>
      <w:r w:rsidRPr="0059564F">
        <w:rPr>
          <w:bCs/>
          <w:color w:val="0D0D0D" w:themeColor="text1" w:themeTint="F2"/>
        </w:rPr>
        <w:t>Pritaikytas visureigiui judant iki 90 km/h greičiu.</w:t>
      </w:r>
    </w:p>
    <w:p w:rsidR="00E6388F" w:rsidRPr="0059564F" w:rsidRDefault="00E6388F" w:rsidP="00E6388F">
      <w:pPr>
        <w:pStyle w:val="ListParagraph"/>
        <w:numPr>
          <w:ilvl w:val="1"/>
          <w:numId w:val="33"/>
        </w:numPr>
        <w:tabs>
          <w:tab w:val="left" w:pos="426"/>
        </w:tabs>
        <w:spacing w:line="360" w:lineRule="auto"/>
        <w:ind w:left="709" w:hanging="426"/>
        <w:jc w:val="both"/>
        <w:rPr>
          <w:bCs/>
          <w:color w:val="0D0D0D" w:themeColor="text1" w:themeTint="F2"/>
        </w:rPr>
      </w:pPr>
      <w:r w:rsidRPr="0059564F">
        <w:rPr>
          <w:bCs/>
          <w:color w:val="0D0D0D" w:themeColor="text1" w:themeTint="F2"/>
        </w:rPr>
        <w:t xml:space="preserve">Statinių tinklų maskuotės sistema (toliau – STMS) - </w:t>
      </w:r>
      <w:proofErr w:type="spellStart"/>
      <w:r w:rsidRPr="0059564F">
        <w:rPr>
          <w:bCs/>
          <w:color w:val="0D0D0D" w:themeColor="text1" w:themeTint="F2"/>
        </w:rPr>
        <w:t>daugiaspektrinis</w:t>
      </w:r>
      <w:proofErr w:type="spellEnd"/>
      <w:r w:rsidRPr="0059564F">
        <w:rPr>
          <w:bCs/>
          <w:color w:val="0D0D0D" w:themeColor="text1" w:themeTint="F2"/>
        </w:rPr>
        <w:t xml:space="preserve"> kamufliažinis tinklas, skirtas naudoti virš transporto priemonių, ginklų, orlaivių ir kt., kad būtų išvengta vizualinio, artimų infraraudonųjų spindulių, šiluminių stebėjimo prietaisų ir plačiajuosčių ryšių radarų žvalgybos. Tvirtinamas ant visureigio</w:t>
      </w:r>
      <w:r w:rsidRPr="0059564F">
        <w:rPr>
          <w:color w:val="FF0000"/>
        </w:rPr>
        <w:t xml:space="preserve"> </w:t>
      </w:r>
      <w:r w:rsidRPr="0059564F">
        <w:t xml:space="preserve">JLTV OSHKOSH M1278A1 </w:t>
      </w:r>
      <w:r w:rsidRPr="0059564F">
        <w:rPr>
          <w:bCs/>
          <w:color w:val="0D0D0D" w:themeColor="text1" w:themeTint="F2"/>
        </w:rPr>
        <w:t>šilumą spinduliuojančių vietų, kai visureigis yra stacionarus</w:t>
      </w:r>
      <w:r w:rsidRPr="0059564F">
        <w:rPr>
          <w:bCs/>
        </w:rPr>
        <w:t xml:space="preserve">. </w:t>
      </w:r>
    </w:p>
    <w:p w:rsidR="00E6388F" w:rsidRPr="0059564F" w:rsidRDefault="00E6388F" w:rsidP="00E6388F">
      <w:pPr>
        <w:pStyle w:val="ListParagraph"/>
        <w:numPr>
          <w:ilvl w:val="1"/>
          <w:numId w:val="33"/>
        </w:numPr>
        <w:tabs>
          <w:tab w:val="left" w:pos="426"/>
        </w:tabs>
        <w:spacing w:line="360" w:lineRule="auto"/>
        <w:ind w:left="709" w:hanging="426"/>
        <w:jc w:val="both"/>
        <w:rPr>
          <w:bCs/>
          <w:color w:val="0D0D0D" w:themeColor="text1" w:themeTint="F2"/>
        </w:rPr>
      </w:pPr>
      <w:r w:rsidRPr="0059564F">
        <w:rPr>
          <w:bCs/>
          <w:color w:val="0D0D0D" w:themeColor="text1" w:themeTint="F2"/>
        </w:rPr>
        <w:t xml:space="preserve">Tinklo pridėtinė medžiaga – į tinklą įpintos maskuotės skiautės, sulaužančios tinklo arba visureigio </w:t>
      </w:r>
      <w:r w:rsidRPr="0059564F">
        <w:t xml:space="preserve">JLTV OSHKOSH M1278A1 </w:t>
      </w:r>
      <w:r w:rsidRPr="0059564F">
        <w:rPr>
          <w:bCs/>
          <w:color w:val="0D0D0D" w:themeColor="text1" w:themeTint="F2"/>
        </w:rPr>
        <w:t xml:space="preserve">kontūrus, sudarančios geresnes sąlygas įsilieti į aplinką. </w:t>
      </w:r>
    </w:p>
    <w:p w:rsidR="00E6388F" w:rsidRPr="0059564F" w:rsidRDefault="00E6388F" w:rsidP="00E6388F">
      <w:pPr>
        <w:pStyle w:val="ListParagraph"/>
        <w:spacing w:line="360" w:lineRule="auto"/>
        <w:ind w:left="284"/>
        <w:jc w:val="both"/>
        <w:rPr>
          <w:bCs/>
          <w:color w:val="0D0D0D" w:themeColor="text1" w:themeTint="F2"/>
        </w:rPr>
      </w:pPr>
    </w:p>
    <w:tbl>
      <w:tblPr>
        <w:tblStyle w:val="TableGrid0"/>
        <w:tblW w:w="10485" w:type="dxa"/>
        <w:tblInd w:w="137" w:type="dxa"/>
        <w:tblCellMar>
          <w:top w:w="10" w:type="dxa"/>
          <w:right w:w="115" w:type="dxa"/>
        </w:tblCellMar>
        <w:tblLook w:val="04A0" w:firstRow="1" w:lastRow="0" w:firstColumn="1" w:lastColumn="0" w:noHBand="0" w:noVBand="1"/>
      </w:tblPr>
      <w:tblGrid>
        <w:gridCol w:w="704"/>
        <w:gridCol w:w="2977"/>
        <w:gridCol w:w="6804"/>
      </w:tblGrid>
      <w:tr w:rsidR="00E6388F" w:rsidRPr="0059564F" w:rsidTr="00E6388F">
        <w:trPr>
          <w:trHeight w:val="207"/>
        </w:trPr>
        <w:tc>
          <w:tcPr>
            <w:tcW w:w="10485" w:type="dxa"/>
            <w:gridSpan w:val="3"/>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393952">
            <w:pPr>
              <w:ind w:right="6"/>
              <w:jc w:val="center"/>
              <w:rPr>
                <w:b/>
                <w:sz w:val="20"/>
                <w:szCs w:val="20"/>
              </w:rPr>
            </w:pPr>
            <w:r w:rsidRPr="0059564F">
              <w:rPr>
                <w:b/>
                <w:sz w:val="20"/>
                <w:szCs w:val="20"/>
              </w:rPr>
              <w:t>MASKUOJANČIO TINKLO REIKALAVIMAI</w:t>
            </w:r>
          </w:p>
        </w:tc>
      </w:tr>
      <w:tr w:rsidR="00E6388F" w:rsidRPr="0059564F" w:rsidTr="00E6388F">
        <w:trPr>
          <w:trHeight w:val="98"/>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393952">
            <w:pPr>
              <w:ind w:left="6"/>
              <w:jc w:val="center"/>
              <w:rPr>
                <w:b/>
                <w:sz w:val="20"/>
                <w:szCs w:val="20"/>
              </w:rPr>
            </w:pPr>
            <w:r w:rsidRPr="0059564F">
              <w:rPr>
                <w:b/>
                <w:sz w:val="20"/>
                <w:szCs w:val="20"/>
              </w:rPr>
              <w:t>Eil. Nr.</w:t>
            </w: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393952">
            <w:pPr>
              <w:ind w:left="6"/>
              <w:jc w:val="center"/>
              <w:rPr>
                <w:sz w:val="20"/>
                <w:szCs w:val="20"/>
              </w:rPr>
            </w:pPr>
            <w:r w:rsidRPr="0059564F">
              <w:rPr>
                <w:b/>
                <w:sz w:val="20"/>
                <w:szCs w:val="20"/>
              </w:rPr>
              <w:t>PARAMETRAI</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393952">
            <w:pPr>
              <w:ind w:right="6"/>
              <w:jc w:val="center"/>
              <w:rPr>
                <w:sz w:val="20"/>
                <w:szCs w:val="20"/>
              </w:rPr>
            </w:pPr>
            <w:r w:rsidRPr="0059564F">
              <w:rPr>
                <w:b/>
                <w:sz w:val="20"/>
                <w:szCs w:val="20"/>
              </w:rPr>
              <w:t>REIKALAUJAMOS PARAMETRŲ REIKŠMĖS</w:t>
            </w:r>
          </w:p>
        </w:tc>
      </w:tr>
      <w:tr w:rsidR="00E6388F" w:rsidRPr="0059564F" w:rsidTr="00E6388F">
        <w:trPr>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p>
          <w:p w:rsidR="00E6388F" w:rsidRPr="0059564F" w:rsidRDefault="00E6388F" w:rsidP="00E6388F">
            <w:pPr>
              <w:ind w:left="6"/>
              <w:jc w:val="center"/>
              <w:rPr>
                <w:b/>
                <w:sz w:val="20"/>
                <w:szCs w:val="20"/>
              </w:rPr>
            </w:pPr>
            <w:r w:rsidRPr="0059564F">
              <w:rPr>
                <w:rFonts w:eastAsiaTheme="minorHAnsi"/>
                <w:b/>
                <w:bCs/>
                <w:iCs/>
                <w:sz w:val="20"/>
                <w:szCs w:val="20"/>
              </w:rPr>
              <w:t>Bendriniai maskuojančio tinklo reikalavimai</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144" w:right="6"/>
              <w:jc w:val="both"/>
              <w:rPr>
                <w:sz w:val="20"/>
                <w:szCs w:val="20"/>
              </w:rPr>
            </w:pPr>
            <w:r w:rsidRPr="0059564F">
              <w:rPr>
                <w:sz w:val="20"/>
                <w:szCs w:val="20"/>
              </w:rPr>
              <w:t xml:space="preserve">Maskuojančiųjų tinklų sistema turi pilnai dengti visą </w:t>
            </w:r>
            <w:r w:rsidRPr="0059564F">
              <w:rPr>
                <w:bCs/>
                <w:color w:val="0D0D0D" w:themeColor="text1" w:themeTint="F2"/>
                <w:sz w:val="20"/>
                <w:szCs w:val="20"/>
              </w:rPr>
              <w:t xml:space="preserve">visureigio </w:t>
            </w:r>
            <w:r w:rsidRPr="0059564F">
              <w:rPr>
                <w:sz w:val="20"/>
                <w:szCs w:val="20"/>
              </w:rPr>
              <w:t xml:space="preserve">JLTV OSHKOSH M1278A1 paviršių įskaitant jo įrenginius: antenas, </w:t>
            </w:r>
            <w:proofErr w:type="spellStart"/>
            <w:r w:rsidRPr="0059564F">
              <w:rPr>
                <w:sz w:val="20"/>
                <w:szCs w:val="20"/>
              </w:rPr>
              <w:t>daiktadėžes</w:t>
            </w:r>
            <w:proofErr w:type="spellEnd"/>
            <w:r w:rsidRPr="0059564F">
              <w:rPr>
                <w:sz w:val="20"/>
                <w:szCs w:val="20"/>
              </w:rPr>
              <w:t>. ginklų bokštelį ir kt.;</w:t>
            </w:r>
          </w:p>
          <w:p w:rsidR="00E6388F" w:rsidRPr="0059564F" w:rsidRDefault="00E6388F" w:rsidP="00E6388F">
            <w:pPr>
              <w:ind w:left="144" w:right="6"/>
              <w:jc w:val="both"/>
              <w:rPr>
                <w:sz w:val="20"/>
                <w:szCs w:val="20"/>
              </w:rPr>
            </w:pPr>
            <w:r w:rsidRPr="0059564F">
              <w:rPr>
                <w:sz w:val="20"/>
                <w:szCs w:val="20"/>
              </w:rPr>
              <w:t>Maskuojantis tinklas turi būti pritaikytas visureigiui judant 90 km/h (+/- 5);</w:t>
            </w:r>
          </w:p>
          <w:p w:rsidR="00E6388F" w:rsidRPr="0059564F" w:rsidRDefault="00E6388F" w:rsidP="00E6388F">
            <w:pPr>
              <w:ind w:left="144" w:right="6"/>
              <w:jc w:val="both"/>
              <w:rPr>
                <w:sz w:val="20"/>
                <w:szCs w:val="20"/>
              </w:rPr>
            </w:pPr>
            <w:r w:rsidRPr="0059564F">
              <w:rPr>
                <w:sz w:val="20"/>
                <w:szCs w:val="20"/>
              </w:rPr>
              <w:t>Maskuojantis tinklas turi būti lengvai naudojamas ir greitai uždedamas;</w:t>
            </w:r>
          </w:p>
          <w:p w:rsidR="00E6388F" w:rsidRPr="0059564F" w:rsidRDefault="00E6388F" w:rsidP="00E6388F">
            <w:pPr>
              <w:ind w:left="144" w:right="6"/>
              <w:jc w:val="both"/>
              <w:rPr>
                <w:sz w:val="20"/>
                <w:szCs w:val="20"/>
              </w:rPr>
            </w:pPr>
            <w:r w:rsidRPr="0059564F">
              <w:rPr>
                <w:sz w:val="20"/>
                <w:szCs w:val="20"/>
              </w:rPr>
              <w:t xml:space="preserve">Maskuotės raštas turi būti pritaikytas prie Lietuvos gamtinės aplinkos; </w:t>
            </w:r>
          </w:p>
          <w:p w:rsidR="00E6388F" w:rsidRPr="0059564F" w:rsidRDefault="00E6388F" w:rsidP="00E6388F">
            <w:pPr>
              <w:ind w:left="144" w:right="6"/>
              <w:jc w:val="both"/>
              <w:rPr>
                <w:sz w:val="20"/>
                <w:szCs w:val="20"/>
              </w:rPr>
            </w:pPr>
            <w:r w:rsidRPr="0059564F">
              <w:rPr>
                <w:sz w:val="20"/>
                <w:szCs w:val="20"/>
              </w:rPr>
              <w:t xml:space="preserve">Maskuojantys tinklai turi mažinti visureigio vizualinį (VIS) aptikimą bei kai yra pasitelkiama prieš visureigį artimųjų infraraudonųjų spindulių (NIR), terminių infraraudonųjų spindulių (TIR) prietaisai. </w:t>
            </w:r>
          </w:p>
          <w:p w:rsidR="00E6388F" w:rsidRPr="0059564F" w:rsidRDefault="00E6388F" w:rsidP="00E6388F">
            <w:pPr>
              <w:ind w:left="144" w:right="6"/>
              <w:jc w:val="both"/>
              <w:rPr>
                <w:sz w:val="20"/>
                <w:szCs w:val="20"/>
              </w:rPr>
            </w:pPr>
            <w:r w:rsidRPr="0059564F">
              <w:rPr>
                <w:sz w:val="20"/>
                <w:szCs w:val="20"/>
              </w:rPr>
              <w:t>Maskuojantys tinklai turi kontroliuoti  pasitelktų prieš visureigį prietaisų trumpųjų infraraudonųjų bangų (SWIR) ilgius, sekdamas spektrinius aplinkos atspindžius.</w:t>
            </w:r>
          </w:p>
          <w:p w:rsidR="00E6388F" w:rsidRPr="0059564F" w:rsidRDefault="00E6388F" w:rsidP="00E6388F">
            <w:pPr>
              <w:ind w:left="144" w:right="6"/>
              <w:jc w:val="both"/>
              <w:rPr>
                <w:sz w:val="20"/>
                <w:szCs w:val="20"/>
              </w:rPr>
            </w:pPr>
            <w:r w:rsidRPr="0059564F">
              <w:rPr>
                <w:sz w:val="20"/>
                <w:szCs w:val="20"/>
              </w:rPr>
              <w:t xml:space="preserve">Maskuojantys tinklai turi </w:t>
            </w:r>
            <w:r w:rsidRPr="0059564F">
              <w:rPr>
                <w:bCs/>
                <w:color w:val="0D0D0D" w:themeColor="text1" w:themeTint="F2"/>
                <w:sz w:val="20"/>
                <w:szCs w:val="20"/>
              </w:rPr>
              <w:t>užtikrinti apsaugą nuo radarų sistemų (RR), sintetinių diafragmos radarų sistemų (SAR), kurios generuoja didelės raiškos vaizdus, taip pat nuo ugnies valdymo radarų ir taikinių ieškančių raketų.</w:t>
            </w:r>
          </w:p>
        </w:tc>
      </w:tr>
      <w:tr w:rsidR="00E6388F" w:rsidRPr="0059564F" w:rsidTr="00E6388F">
        <w:trPr>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jc w:val="center"/>
              <w:rPr>
                <w:rFonts w:eastAsiaTheme="minorHAnsi"/>
                <w:b/>
                <w:bCs/>
                <w:iCs/>
                <w:sz w:val="20"/>
                <w:szCs w:val="20"/>
              </w:rPr>
            </w:pPr>
            <w:r w:rsidRPr="0059564F">
              <w:rPr>
                <w:rFonts w:eastAsiaTheme="minorHAnsi"/>
                <w:b/>
                <w:bCs/>
                <w:iCs/>
                <w:sz w:val="20"/>
                <w:szCs w:val="20"/>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rPr>
                <w:rFonts w:eastAsiaTheme="minorHAnsi"/>
                <w:b/>
                <w:bCs/>
                <w:iCs/>
                <w:sz w:val="20"/>
                <w:szCs w:val="20"/>
              </w:rPr>
            </w:pPr>
          </w:p>
          <w:p w:rsidR="00E6388F" w:rsidRPr="0059564F" w:rsidRDefault="00E6388F" w:rsidP="00E6388F">
            <w:pPr>
              <w:jc w:val="center"/>
              <w:rPr>
                <w:b/>
                <w:sz w:val="20"/>
                <w:szCs w:val="20"/>
                <w:highlight w:val="yellow"/>
              </w:rPr>
            </w:pPr>
            <w:r w:rsidRPr="0059564F">
              <w:rPr>
                <w:rFonts w:eastAsiaTheme="minorHAnsi"/>
                <w:b/>
                <w:bCs/>
                <w:iCs/>
                <w:sz w:val="20"/>
                <w:szCs w:val="20"/>
              </w:rPr>
              <w:t>Bendriniai maskuojančio tinklo techniniai duomenys</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pStyle w:val="ListParagraph"/>
              <w:numPr>
                <w:ilvl w:val="1"/>
                <w:numId w:val="34"/>
              </w:numPr>
              <w:tabs>
                <w:tab w:val="left" w:pos="430"/>
              </w:tabs>
              <w:ind w:right="6"/>
              <w:rPr>
                <w:rFonts w:eastAsia="Times New Roman"/>
                <w:sz w:val="20"/>
                <w:szCs w:val="20"/>
              </w:rPr>
            </w:pPr>
            <w:r w:rsidRPr="0059564F">
              <w:rPr>
                <w:rFonts w:eastAsia="Times New Roman"/>
                <w:sz w:val="20"/>
                <w:szCs w:val="20"/>
              </w:rPr>
              <w:t xml:space="preserve">Forma ir dydis: pritaikoma </w:t>
            </w:r>
            <w:r w:rsidRPr="0059564F">
              <w:rPr>
                <w:sz w:val="20"/>
                <w:szCs w:val="20"/>
              </w:rPr>
              <w:t>visureigiui JLTV OSHKOSH M1278A1;</w:t>
            </w:r>
          </w:p>
          <w:p w:rsidR="00E6388F" w:rsidRPr="0059564F" w:rsidRDefault="00E6388F" w:rsidP="00E6388F">
            <w:pPr>
              <w:pStyle w:val="ListParagraph"/>
              <w:numPr>
                <w:ilvl w:val="1"/>
                <w:numId w:val="34"/>
              </w:numPr>
              <w:tabs>
                <w:tab w:val="left" w:pos="430"/>
              </w:tabs>
              <w:ind w:left="425" w:right="6" w:hanging="425"/>
              <w:rPr>
                <w:rFonts w:eastAsia="Times New Roman"/>
                <w:sz w:val="20"/>
                <w:szCs w:val="20"/>
              </w:rPr>
            </w:pPr>
            <w:r w:rsidRPr="0059564F">
              <w:rPr>
                <w:rFonts w:eastAsia="Times New Roman"/>
                <w:sz w:val="20"/>
                <w:szCs w:val="20"/>
              </w:rPr>
              <w:t>Sudėtis: tinklo medžiaga mažinanti visureigio skleidžiamą šiluminę spinduliuotę;</w:t>
            </w:r>
          </w:p>
          <w:p w:rsidR="00E6388F" w:rsidRPr="0059564F" w:rsidRDefault="00E6388F" w:rsidP="00E6388F">
            <w:pPr>
              <w:pStyle w:val="ListParagraph"/>
              <w:numPr>
                <w:ilvl w:val="1"/>
                <w:numId w:val="34"/>
              </w:numPr>
              <w:tabs>
                <w:tab w:val="left" w:pos="430"/>
              </w:tabs>
              <w:spacing w:line="276" w:lineRule="auto"/>
              <w:ind w:right="6"/>
              <w:rPr>
                <w:rFonts w:eastAsia="Times New Roman"/>
                <w:sz w:val="20"/>
                <w:szCs w:val="20"/>
              </w:rPr>
            </w:pPr>
            <w:r w:rsidRPr="0059564F">
              <w:rPr>
                <w:rFonts w:eastAsia="Times New Roman"/>
                <w:sz w:val="20"/>
                <w:szCs w:val="20"/>
              </w:rPr>
              <w:t>Bendras svoris: &lt; 1200 g/m²;</w:t>
            </w:r>
          </w:p>
          <w:p w:rsidR="00E6388F" w:rsidRPr="0059564F" w:rsidRDefault="00E6388F" w:rsidP="00E6388F">
            <w:pPr>
              <w:pStyle w:val="ListParagraph"/>
              <w:numPr>
                <w:ilvl w:val="1"/>
                <w:numId w:val="34"/>
              </w:numPr>
              <w:ind w:left="425" w:hanging="425"/>
              <w:rPr>
                <w:rFonts w:eastAsia="Times New Roman"/>
                <w:sz w:val="20"/>
                <w:szCs w:val="20"/>
              </w:rPr>
            </w:pPr>
            <w:r w:rsidRPr="0059564F">
              <w:rPr>
                <w:rFonts w:eastAsia="Times New Roman"/>
                <w:sz w:val="20"/>
                <w:szCs w:val="20"/>
              </w:rPr>
              <w:t>Atsparumas tempimui: ≥ 1200N (Bandymo metodas ISO 1421);</w:t>
            </w:r>
          </w:p>
          <w:p w:rsidR="00E6388F" w:rsidRPr="0059564F" w:rsidRDefault="00E6388F" w:rsidP="00E6388F">
            <w:pPr>
              <w:pStyle w:val="ListParagraph"/>
              <w:numPr>
                <w:ilvl w:val="1"/>
                <w:numId w:val="34"/>
              </w:numPr>
              <w:ind w:left="425" w:hanging="425"/>
              <w:rPr>
                <w:rFonts w:eastAsia="Times New Roman"/>
                <w:sz w:val="20"/>
                <w:szCs w:val="20"/>
              </w:rPr>
            </w:pPr>
            <w:r w:rsidRPr="0059564F">
              <w:rPr>
                <w:rFonts w:eastAsia="Times New Roman"/>
                <w:sz w:val="20"/>
                <w:szCs w:val="20"/>
              </w:rPr>
              <w:t>Atsparumas plyšimui: ≥ 600N (Bandymo metodas ISO 9073-4:1997);</w:t>
            </w:r>
          </w:p>
          <w:p w:rsidR="00E6388F" w:rsidRPr="0059564F" w:rsidRDefault="00E6388F" w:rsidP="00E6388F">
            <w:pPr>
              <w:pStyle w:val="ListParagraph"/>
              <w:numPr>
                <w:ilvl w:val="1"/>
                <w:numId w:val="34"/>
              </w:numPr>
              <w:ind w:left="425" w:hanging="425"/>
              <w:rPr>
                <w:rFonts w:eastAsia="Times New Roman"/>
                <w:sz w:val="20"/>
                <w:szCs w:val="20"/>
              </w:rPr>
            </w:pPr>
            <w:r w:rsidRPr="0059564F">
              <w:rPr>
                <w:rFonts w:eastAsia="Times New Roman"/>
                <w:sz w:val="20"/>
                <w:szCs w:val="20"/>
              </w:rPr>
              <w:t xml:space="preserve">Atsparumas karščiui: nesilydo esant +40°C </w:t>
            </w:r>
            <w:r w:rsidRPr="0059564F">
              <w:rPr>
                <w:rFonts w:eastAsia="Times New Roman"/>
                <w:sz w:val="20"/>
                <w:szCs w:val="20"/>
                <w:lang w:val="en-GB"/>
              </w:rPr>
              <w:t>(</w:t>
            </w:r>
            <w:proofErr w:type="spellStart"/>
            <w:r w:rsidRPr="0059564F">
              <w:rPr>
                <w:rFonts w:eastAsia="Times New Roman"/>
                <w:sz w:val="20"/>
                <w:szCs w:val="20"/>
                <w:lang w:val="en-GB"/>
              </w:rPr>
              <w:t>Bandymo</w:t>
            </w:r>
            <w:proofErr w:type="spellEnd"/>
            <w:r w:rsidRPr="0059564F">
              <w:rPr>
                <w:rFonts w:eastAsia="Times New Roman"/>
                <w:sz w:val="20"/>
                <w:szCs w:val="20"/>
                <w:lang w:val="en-GB"/>
              </w:rPr>
              <w:t xml:space="preserve"> </w:t>
            </w:r>
            <w:proofErr w:type="spellStart"/>
            <w:r w:rsidRPr="0059564F">
              <w:rPr>
                <w:rFonts w:eastAsia="Times New Roman"/>
                <w:sz w:val="20"/>
                <w:szCs w:val="20"/>
                <w:lang w:val="en-GB"/>
              </w:rPr>
              <w:t>metodas</w:t>
            </w:r>
            <w:proofErr w:type="spellEnd"/>
            <w:r w:rsidRPr="0059564F">
              <w:rPr>
                <w:rFonts w:eastAsia="Times New Roman"/>
                <w:sz w:val="20"/>
                <w:szCs w:val="20"/>
                <w:lang w:val="en-GB"/>
              </w:rPr>
              <w:t xml:space="preserve"> ISO 1419-B);</w:t>
            </w:r>
          </w:p>
          <w:p w:rsidR="00E6388F" w:rsidRPr="0059564F" w:rsidRDefault="00E6388F" w:rsidP="00E6388F">
            <w:pPr>
              <w:pStyle w:val="ListParagraph"/>
              <w:numPr>
                <w:ilvl w:val="1"/>
                <w:numId w:val="34"/>
              </w:numPr>
              <w:tabs>
                <w:tab w:val="left" w:pos="430"/>
              </w:tabs>
              <w:ind w:left="425" w:right="6" w:hanging="425"/>
              <w:rPr>
                <w:rFonts w:eastAsia="Times New Roman"/>
                <w:sz w:val="20"/>
                <w:szCs w:val="20"/>
              </w:rPr>
            </w:pPr>
            <w:r w:rsidRPr="0059564F">
              <w:rPr>
                <w:rFonts w:eastAsia="Times New Roman"/>
                <w:sz w:val="20"/>
                <w:szCs w:val="20"/>
              </w:rPr>
              <w:t>Atsparumas liepsnai: ≤ 40 % sunaikinto ploto. (Bandymo metodas: ISO 6941:2003, Paviršiaus uždegimas);</w:t>
            </w:r>
          </w:p>
          <w:p w:rsidR="00E6388F" w:rsidRPr="0059564F" w:rsidRDefault="00E6388F" w:rsidP="00E6388F">
            <w:pPr>
              <w:pStyle w:val="ListParagraph"/>
              <w:numPr>
                <w:ilvl w:val="1"/>
                <w:numId w:val="34"/>
              </w:numPr>
              <w:tabs>
                <w:tab w:val="left" w:pos="430"/>
              </w:tabs>
              <w:ind w:left="422" w:right="6" w:hanging="422"/>
              <w:rPr>
                <w:rFonts w:eastAsia="Times New Roman"/>
                <w:sz w:val="20"/>
                <w:szCs w:val="20"/>
              </w:rPr>
            </w:pPr>
            <w:r w:rsidRPr="0059564F">
              <w:rPr>
                <w:rFonts w:eastAsia="Times New Roman"/>
                <w:sz w:val="20"/>
                <w:szCs w:val="20"/>
              </w:rPr>
              <w:t>Atsparumas šalčiui: netrūkinėja esant -25°C (Bandymo metodas ISO 4675);</w:t>
            </w:r>
          </w:p>
          <w:p w:rsidR="00E6388F" w:rsidRPr="0059564F" w:rsidRDefault="00E6388F" w:rsidP="00E6388F">
            <w:pPr>
              <w:pStyle w:val="ListParagraph"/>
              <w:numPr>
                <w:ilvl w:val="1"/>
                <w:numId w:val="34"/>
              </w:numPr>
              <w:tabs>
                <w:tab w:val="left" w:pos="430"/>
                <w:tab w:val="left" w:pos="567"/>
              </w:tabs>
              <w:ind w:left="425" w:right="6" w:hanging="425"/>
              <w:rPr>
                <w:rFonts w:eastAsia="Times New Roman"/>
                <w:sz w:val="20"/>
                <w:szCs w:val="20"/>
              </w:rPr>
            </w:pPr>
            <w:r w:rsidRPr="0059564F">
              <w:rPr>
                <w:sz w:val="20"/>
                <w:szCs w:val="20"/>
              </w:rPr>
              <w:t>Atsparumas vandeniui: lygis ≥ 3 (Bandymo metodas: ISO 4920:2012);</w:t>
            </w:r>
          </w:p>
          <w:p w:rsidR="00E6388F" w:rsidRPr="0059564F" w:rsidRDefault="00E6388F" w:rsidP="00E6388F">
            <w:pPr>
              <w:pStyle w:val="ListParagraph"/>
              <w:numPr>
                <w:ilvl w:val="1"/>
                <w:numId w:val="34"/>
              </w:numPr>
              <w:tabs>
                <w:tab w:val="left" w:pos="430"/>
                <w:tab w:val="left" w:pos="567"/>
              </w:tabs>
              <w:ind w:left="425" w:right="6" w:hanging="425"/>
              <w:rPr>
                <w:rFonts w:eastAsia="Times New Roman"/>
                <w:sz w:val="20"/>
                <w:szCs w:val="20"/>
              </w:rPr>
            </w:pPr>
            <w:r w:rsidRPr="0059564F">
              <w:rPr>
                <w:bCs/>
                <w:color w:val="0D0D0D" w:themeColor="text1" w:themeTint="F2"/>
                <w:sz w:val="20"/>
                <w:szCs w:val="20"/>
              </w:rPr>
              <w:t>STMS</w:t>
            </w:r>
            <w:r w:rsidRPr="0059564F">
              <w:rPr>
                <w:sz w:val="20"/>
                <w:szCs w:val="20"/>
              </w:rPr>
              <w:t xml:space="preserve"> ir </w:t>
            </w:r>
            <w:r w:rsidRPr="0059564F">
              <w:rPr>
                <w:bCs/>
                <w:color w:val="0D0D0D" w:themeColor="text1" w:themeTint="F2"/>
                <w:sz w:val="20"/>
                <w:szCs w:val="20"/>
              </w:rPr>
              <w:t>MTMS</w:t>
            </w:r>
            <w:r w:rsidRPr="0059564F">
              <w:rPr>
                <w:sz w:val="20"/>
                <w:szCs w:val="20"/>
              </w:rPr>
              <w:t xml:space="preserve"> turi būti su tinklo pridėtinėmis medžiagomis arba pateiktas kitas sprendimo būdas visureigio kontūrams sulaužyti.</w:t>
            </w:r>
          </w:p>
        </w:tc>
      </w:tr>
      <w:tr w:rsidR="00E6388F" w:rsidRPr="0059564F" w:rsidTr="00E6388F">
        <w:trPr>
          <w:trHeight w:val="1952"/>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sz w:val="20"/>
                <w:szCs w:val="20"/>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highlight w:val="yellow"/>
              </w:rPr>
            </w:pPr>
            <w:r w:rsidRPr="0059564F">
              <w:rPr>
                <w:b/>
                <w:bCs/>
                <w:color w:val="0D0D0D" w:themeColor="text1" w:themeTint="F2"/>
                <w:sz w:val="20"/>
                <w:szCs w:val="20"/>
              </w:rPr>
              <w:t>MTMS</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pStyle w:val="ListParagraph"/>
              <w:numPr>
                <w:ilvl w:val="1"/>
                <w:numId w:val="35"/>
              </w:numPr>
              <w:spacing w:line="276" w:lineRule="auto"/>
              <w:rPr>
                <w:rFonts w:eastAsia="Times New Roman"/>
                <w:sz w:val="20"/>
                <w:szCs w:val="20"/>
              </w:rPr>
            </w:pPr>
            <w:r w:rsidRPr="0059564F">
              <w:rPr>
                <w:rFonts w:eastAsia="Times New Roman"/>
                <w:sz w:val="20"/>
                <w:szCs w:val="20"/>
              </w:rPr>
              <w:t xml:space="preserve"> Forma ir dydis: pritaikoma </w:t>
            </w:r>
            <w:r w:rsidRPr="0059564F">
              <w:rPr>
                <w:sz w:val="20"/>
                <w:szCs w:val="20"/>
              </w:rPr>
              <w:t>visureigiui JLTV OSHKOSH M1278A1</w:t>
            </w:r>
            <w:r w:rsidRPr="0059564F">
              <w:rPr>
                <w:rFonts w:eastAsia="Times New Roman"/>
                <w:sz w:val="20"/>
                <w:szCs w:val="20"/>
              </w:rPr>
              <w:t>;</w:t>
            </w:r>
          </w:p>
          <w:p w:rsidR="00E6388F" w:rsidRPr="0059564F" w:rsidRDefault="00E6388F" w:rsidP="00E6388F">
            <w:pPr>
              <w:pStyle w:val="ListParagraph"/>
              <w:numPr>
                <w:ilvl w:val="1"/>
                <w:numId w:val="35"/>
              </w:numPr>
              <w:spacing w:line="276" w:lineRule="auto"/>
              <w:rPr>
                <w:rFonts w:eastAsia="Times New Roman"/>
                <w:sz w:val="20"/>
                <w:szCs w:val="20"/>
              </w:rPr>
            </w:pPr>
            <w:r w:rsidRPr="0059564F">
              <w:rPr>
                <w:rFonts w:eastAsia="Times New Roman"/>
                <w:sz w:val="20"/>
                <w:szCs w:val="20"/>
              </w:rPr>
              <w:t xml:space="preserve"> Svoris: ≤ 250g/m²;</w:t>
            </w:r>
          </w:p>
          <w:p w:rsidR="00E6388F" w:rsidRPr="0059564F" w:rsidRDefault="00E6388F" w:rsidP="00E6388F">
            <w:pPr>
              <w:pStyle w:val="ListParagraph"/>
              <w:numPr>
                <w:ilvl w:val="1"/>
                <w:numId w:val="35"/>
              </w:numPr>
              <w:spacing w:line="276" w:lineRule="auto"/>
              <w:rPr>
                <w:rFonts w:eastAsia="Times New Roman"/>
                <w:sz w:val="20"/>
                <w:szCs w:val="20"/>
              </w:rPr>
            </w:pPr>
            <w:r w:rsidRPr="0059564F">
              <w:rPr>
                <w:rFonts w:eastAsia="Times New Roman"/>
                <w:sz w:val="20"/>
                <w:szCs w:val="20"/>
              </w:rPr>
              <w:t xml:space="preserve"> Radaro pastabumo sumažinimas (vidurkis): ≥ 6 </w:t>
            </w:r>
            <w:proofErr w:type="spellStart"/>
            <w:r w:rsidRPr="0059564F">
              <w:rPr>
                <w:rFonts w:eastAsia="Times New Roman"/>
                <w:sz w:val="20"/>
                <w:szCs w:val="20"/>
              </w:rPr>
              <w:t>dB</w:t>
            </w:r>
            <w:proofErr w:type="spellEnd"/>
            <w:r w:rsidRPr="0059564F">
              <w:rPr>
                <w:rFonts w:eastAsia="Times New Roman"/>
                <w:sz w:val="20"/>
                <w:szCs w:val="20"/>
              </w:rPr>
              <w:t xml:space="preserve"> (Bandymo metodas: BCS 810);</w:t>
            </w:r>
          </w:p>
          <w:p w:rsidR="00E6388F" w:rsidRPr="0059564F" w:rsidRDefault="00E6388F" w:rsidP="00E6388F">
            <w:pPr>
              <w:pStyle w:val="ListParagraph"/>
              <w:numPr>
                <w:ilvl w:val="1"/>
                <w:numId w:val="35"/>
              </w:numPr>
              <w:spacing w:line="276" w:lineRule="auto"/>
              <w:rPr>
                <w:rFonts w:eastAsia="Times New Roman"/>
                <w:sz w:val="20"/>
                <w:szCs w:val="20"/>
              </w:rPr>
            </w:pPr>
            <w:r w:rsidRPr="0059564F">
              <w:rPr>
                <w:rFonts w:eastAsia="Times New Roman"/>
                <w:sz w:val="20"/>
                <w:szCs w:val="20"/>
              </w:rPr>
              <w:t xml:space="preserve"> Šiluminis pralaidumas: ≤ 25 % stebint ≥ 75 % bendro tinklo ploto, esant 50-5000 m nuo tinklo;</w:t>
            </w:r>
          </w:p>
          <w:p w:rsidR="00E6388F" w:rsidRPr="0059564F" w:rsidRDefault="00E6388F" w:rsidP="00E6388F">
            <w:pPr>
              <w:pStyle w:val="ListParagraph"/>
              <w:numPr>
                <w:ilvl w:val="1"/>
                <w:numId w:val="35"/>
              </w:numPr>
              <w:spacing w:line="276" w:lineRule="auto"/>
              <w:rPr>
                <w:rFonts w:eastAsia="Times New Roman"/>
                <w:sz w:val="20"/>
                <w:szCs w:val="20"/>
              </w:rPr>
            </w:pPr>
            <w:r w:rsidRPr="0059564F">
              <w:rPr>
                <w:rFonts w:eastAsia="Times New Roman"/>
                <w:sz w:val="20"/>
                <w:szCs w:val="20"/>
              </w:rPr>
              <w:t xml:space="preserve"> Šiluminis spinduliavimas: ≤ </w:t>
            </w:r>
            <w:r w:rsidRPr="0059564F">
              <w:rPr>
                <w:sz w:val="20"/>
                <w:szCs w:val="20"/>
              </w:rPr>
              <w:t>4°C virš esamos aplinkos temperatūros,</w:t>
            </w:r>
            <w:r w:rsidRPr="0059564F">
              <w:rPr>
                <w:rFonts w:eastAsia="Times New Roman"/>
                <w:sz w:val="20"/>
                <w:szCs w:val="20"/>
              </w:rPr>
              <w:t xml:space="preserve"> esant teigiamai aplinkos temperatūrai ir </w:t>
            </w:r>
            <w:r w:rsidRPr="0059564F">
              <w:rPr>
                <w:sz w:val="20"/>
                <w:szCs w:val="20"/>
              </w:rPr>
              <w:t>2 m/</w:t>
            </w:r>
            <w:proofErr w:type="spellStart"/>
            <w:r w:rsidRPr="0059564F">
              <w:rPr>
                <w:sz w:val="20"/>
                <w:szCs w:val="20"/>
              </w:rPr>
              <w:t>sec</w:t>
            </w:r>
            <w:proofErr w:type="spellEnd"/>
            <w:r w:rsidRPr="0059564F">
              <w:rPr>
                <w:sz w:val="20"/>
                <w:szCs w:val="20"/>
              </w:rPr>
              <w:t>. vėjui;</w:t>
            </w:r>
          </w:p>
        </w:tc>
      </w:tr>
      <w:tr w:rsidR="00E6388F" w:rsidRPr="0059564F" w:rsidTr="00E6388F">
        <w:trPr>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sz w:val="20"/>
                <w:szCs w:val="20"/>
              </w:rPr>
              <w:t>3</w:t>
            </w: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bCs/>
                <w:color w:val="0D0D0D" w:themeColor="text1" w:themeTint="F2"/>
                <w:sz w:val="20"/>
                <w:szCs w:val="20"/>
              </w:rPr>
              <w:t>STMS</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pStyle w:val="ListParagraph"/>
              <w:numPr>
                <w:ilvl w:val="1"/>
                <w:numId w:val="36"/>
              </w:numPr>
              <w:spacing w:line="276" w:lineRule="auto"/>
              <w:rPr>
                <w:rFonts w:eastAsia="Times New Roman"/>
                <w:sz w:val="20"/>
                <w:szCs w:val="20"/>
              </w:rPr>
            </w:pPr>
            <w:r w:rsidRPr="0059564F">
              <w:rPr>
                <w:sz w:val="20"/>
                <w:szCs w:val="20"/>
              </w:rPr>
              <w:t xml:space="preserve"> </w:t>
            </w:r>
            <w:r w:rsidRPr="0059564F">
              <w:rPr>
                <w:rFonts w:eastAsia="Times New Roman"/>
                <w:sz w:val="20"/>
                <w:szCs w:val="20"/>
              </w:rPr>
              <w:t xml:space="preserve">Forma ir dydis: pritaikoma </w:t>
            </w:r>
            <w:r w:rsidRPr="0059564F">
              <w:rPr>
                <w:sz w:val="20"/>
                <w:szCs w:val="20"/>
              </w:rPr>
              <w:t>visureigiui JLTV OSHKOSH M1278A1</w:t>
            </w:r>
            <w:r w:rsidRPr="0059564F">
              <w:rPr>
                <w:rFonts w:eastAsia="Times New Roman"/>
                <w:sz w:val="20"/>
                <w:szCs w:val="20"/>
              </w:rPr>
              <w:t>;</w:t>
            </w:r>
          </w:p>
          <w:p w:rsidR="00E6388F" w:rsidRPr="0059564F" w:rsidRDefault="00E6388F" w:rsidP="00E6388F">
            <w:pPr>
              <w:pStyle w:val="ListParagraph"/>
              <w:numPr>
                <w:ilvl w:val="1"/>
                <w:numId w:val="36"/>
              </w:numPr>
              <w:spacing w:line="276" w:lineRule="auto"/>
              <w:rPr>
                <w:rFonts w:eastAsia="Times New Roman"/>
                <w:sz w:val="20"/>
                <w:szCs w:val="20"/>
              </w:rPr>
            </w:pPr>
            <w:r w:rsidRPr="0059564F">
              <w:rPr>
                <w:rFonts w:eastAsia="Times New Roman"/>
                <w:sz w:val="20"/>
                <w:szCs w:val="20"/>
              </w:rPr>
              <w:t xml:space="preserve"> Svoris: ≤ 250g/m²;</w:t>
            </w:r>
          </w:p>
          <w:p w:rsidR="00E6388F" w:rsidRPr="0059564F" w:rsidRDefault="00E6388F" w:rsidP="00E6388F">
            <w:pPr>
              <w:pStyle w:val="ListParagraph"/>
              <w:numPr>
                <w:ilvl w:val="1"/>
                <w:numId w:val="36"/>
              </w:numPr>
              <w:spacing w:line="276" w:lineRule="auto"/>
              <w:rPr>
                <w:rFonts w:eastAsia="Times New Roman"/>
                <w:sz w:val="20"/>
                <w:szCs w:val="20"/>
              </w:rPr>
            </w:pPr>
            <w:r w:rsidRPr="0059564F">
              <w:rPr>
                <w:rFonts w:eastAsia="Times New Roman"/>
                <w:sz w:val="20"/>
                <w:szCs w:val="20"/>
              </w:rPr>
              <w:t xml:space="preserve"> Šiluminis pralaidumas: ≤ 25 % stebint ≥ 75 % bendro tinklo ploto, esant 50-5000m nuo tinklo;</w:t>
            </w:r>
          </w:p>
          <w:p w:rsidR="00E6388F" w:rsidRPr="0059564F" w:rsidRDefault="00E6388F" w:rsidP="00E6388F">
            <w:pPr>
              <w:pStyle w:val="ListParagraph"/>
              <w:numPr>
                <w:ilvl w:val="1"/>
                <w:numId w:val="36"/>
              </w:numPr>
              <w:spacing w:line="276" w:lineRule="auto"/>
              <w:rPr>
                <w:rFonts w:eastAsia="Times New Roman"/>
                <w:sz w:val="20"/>
                <w:szCs w:val="20"/>
              </w:rPr>
            </w:pPr>
            <w:r w:rsidRPr="0059564F">
              <w:rPr>
                <w:rFonts w:eastAsia="Times New Roman"/>
                <w:sz w:val="20"/>
                <w:szCs w:val="20"/>
              </w:rPr>
              <w:lastRenderedPageBreak/>
              <w:t xml:space="preserve"> Šiluminis spinduliavimas: ≤ </w:t>
            </w:r>
            <w:r w:rsidRPr="0059564F">
              <w:rPr>
                <w:sz w:val="20"/>
                <w:szCs w:val="20"/>
              </w:rPr>
              <w:t>4°C virš esamos aplinkos temperatūros,</w:t>
            </w:r>
            <w:r w:rsidRPr="0059564F">
              <w:rPr>
                <w:rFonts w:eastAsia="Times New Roman"/>
                <w:sz w:val="20"/>
                <w:szCs w:val="20"/>
              </w:rPr>
              <w:t xml:space="preserve"> esant teigiamai aplinkos temperatūrai ir </w:t>
            </w:r>
            <w:r w:rsidRPr="0059564F">
              <w:rPr>
                <w:sz w:val="20"/>
                <w:szCs w:val="20"/>
              </w:rPr>
              <w:t>2 m/</w:t>
            </w:r>
            <w:proofErr w:type="spellStart"/>
            <w:r w:rsidRPr="0059564F">
              <w:rPr>
                <w:sz w:val="20"/>
                <w:szCs w:val="20"/>
              </w:rPr>
              <w:t>sec</w:t>
            </w:r>
            <w:proofErr w:type="spellEnd"/>
            <w:r w:rsidRPr="0059564F">
              <w:rPr>
                <w:sz w:val="20"/>
                <w:szCs w:val="20"/>
              </w:rPr>
              <w:t>. vėjui;</w:t>
            </w:r>
          </w:p>
          <w:p w:rsidR="00E6388F" w:rsidRPr="0059564F" w:rsidRDefault="00E6388F" w:rsidP="00E6388F">
            <w:pPr>
              <w:pStyle w:val="ListParagraph"/>
              <w:numPr>
                <w:ilvl w:val="1"/>
                <w:numId w:val="36"/>
              </w:numPr>
              <w:spacing w:line="276" w:lineRule="auto"/>
              <w:rPr>
                <w:rFonts w:eastAsia="Times New Roman"/>
                <w:sz w:val="20"/>
                <w:szCs w:val="20"/>
              </w:rPr>
            </w:pPr>
            <w:r w:rsidRPr="0059564F">
              <w:rPr>
                <w:rFonts w:eastAsia="Times New Roman"/>
                <w:sz w:val="20"/>
                <w:szCs w:val="20"/>
              </w:rPr>
              <w:t xml:space="preserve"> Radaro pastabumo sumažinimas (vidurkis): ≥ 6dB (Bandymo metodas: BCS 810)</w:t>
            </w:r>
          </w:p>
          <w:p w:rsidR="00E6388F" w:rsidRPr="0059564F" w:rsidRDefault="00E6388F" w:rsidP="00E6388F">
            <w:pPr>
              <w:pStyle w:val="ListParagraph"/>
              <w:numPr>
                <w:ilvl w:val="1"/>
                <w:numId w:val="36"/>
              </w:numPr>
              <w:spacing w:line="276" w:lineRule="auto"/>
              <w:rPr>
                <w:rFonts w:eastAsia="Times New Roman"/>
                <w:sz w:val="20"/>
                <w:szCs w:val="20"/>
              </w:rPr>
            </w:pPr>
            <w:r w:rsidRPr="0059564F">
              <w:rPr>
                <w:rFonts w:eastAsia="Times New Roman"/>
                <w:sz w:val="20"/>
                <w:szCs w:val="20"/>
              </w:rPr>
              <w:t xml:space="preserve"> </w:t>
            </w:r>
            <w:r w:rsidRPr="0059564F">
              <w:rPr>
                <w:bCs/>
                <w:color w:val="0D0D0D" w:themeColor="text1" w:themeTint="F2"/>
                <w:sz w:val="20"/>
                <w:szCs w:val="20"/>
              </w:rPr>
              <w:t>STMS</w:t>
            </w:r>
            <w:r w:rsidRPr="0059564F">
              <w:rPr>
                <w:rFonts w:eastAsia="Times New Roman"/>
                <w:sz w:val="20"/>
                <w:szCs w:val="20"/>
              </w:rPr>
              <w:t xml:space="preserve"> turi būti lengvai uždedama ir nuimama, nereikalaujanti daugiau kaip 2 žmonių veiksmui atlikti.</w:t>
            </w:r>
          </w:p>
          <w:p w:rsidR="00E6388F" w:rsidRPr="0059564F" w:rsidRDefault="00E6388F" w:rsidP="00E6388F">
            <w:pPr>
              <w:pStyle w:val="ListParagraph"/>
              <w:numPr>
                <w:ilvl w:val="1"/>
                <w:numId w:val="36"/>
              </w:numPr>
              <w:spacing w:line="276" w:lineRule="auto"/>
              <w:rPr>
                <w:rFonts w:eastAsia="Times New Roman"/>
                <w:sz w:val="20"/>
                <w:szCs w:val="20"/>
              </w:rPr>
            </w:pPr>
            <w:r w:rsidRPr="0059564F">
              <w:rPr>
                <w:rFonts w:eastAsia="Times New Roman"/>
                <w:sz w:val="20"/>
                <w:szCs w:val="20"/>
              </w:rPr>
              <w:t xml:space="preserve"> </w:t>
            </w:r>
            <w:r w:rsidRPr="0059564F">
              <w:rPr>
                <w:bCs/>
                <w:color w:val="0D0D0D" w:themeColor="text1" w:themeTint="F2"/>
                <w:sz w:val="20"/>
                <w:szCs w:val="20"/>
              </w:rPr>
              <w:t>STMS,</w:t>
            </w:r>
            <w:r w:rsidRPr="0059564F">
              <w:rPr>
                <w:rFonts w:eastAsia="Times New Roman"/>
                <w:sz w:val="20"/>
                <w:szCs w:val="20"/>
              </w:rPr>
              <w:t xml:space="preserve"> jos nenaudojimo metu, turi būti talpinama atskirame dėkle / maiše / dėžėje, kurią galima būti gabenti visureigyje judėjimo metu.</w:t>
            </w:r>
          </w:p>
        </w:tc>
      </w:tr>
      <w:tr w:rsidR="00E6388F" w:rsidRPr="0059564F" w:rsidTr="00E6388F">
        <w:trPr>
          <w:trHeight w:val="538"/>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sz w:val="20"/>
                <w:szCs w:val="20"/>
              </w:rPr>
              <w:lastRenderedPageBreak/>
              <w:t>4</w:t>
            </w: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sz w:val="20"/>
                <w:szCs w:val="20"/>
              </w:rPr>
              <w:t>Maskuojančio tinklo pridėtinė medžiaga</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tabs>
                <w:tab w:val="left" w:pos="430"/>
                <w:tab w:val="left" w:pos="567"/>
              </w:tabs>
              <w:ind w:right="6"/>
              <w:rPr>
                <w:sz w:val="20"/>
                <w:szCs w:val="20"/>
              </w:rPr>
            </w:pPr>
            <w:r w:rsidRPr="0059564F">
              <w:rPr>
                <w:sz w:val="20"/>
                <w:szCs w:val="20"/>
              </w:rPr>
              <w:t xml:space="preserve">4.1. Atsparumas tempimui: ≥ 300N </w:t>
            </w:r>
            <w:r w:rsidRPr="0059564F">
              <w:rPr>
                <w:sz w:val="20"/>
                <w:szCs w:val="20"/>
                <w:lang w:val="en-GB"/>
              </w:rPr>
              <w:t>(</w:t>
            </w:r>
            <w:proofErr w:type="spellStart"/>
            <w:r w:rsidRPr="0059564F">
              <w:rPr>
                <w:sz w:val="20"/>
                <w:szCs w:val="20"/>
                <w:lang w:val="en-GB"/>
              </w:rPr>
              <w:t>Bandymo</w:t>
            </w:r>
            <w:proofErr w:type="spellEnd"/>
            <w:r w:rsidRPr="0059564F">
              <w:rPr>
                <w:sz w:val="20"/>
                <w:szCs w:val="20"/>
                <w:lang w:val="en-GB"/>
              </w:rPr>
              <w:t xml:space="preserve"> </w:t>
            </w:r>
            <w:proofErr w:type="spellStart"/>
            <w:r w:rsidRPr="0059564F">
              <w:rPr>
                <w:sz w:val="20"/>
                <w:szCs w:val="20"/>
                <w:lang w:val="en-GB"/>
              </w:rPr>
              <w:t>metodas</w:t>
            </w:r>
            <w:proofErr w:type="spellEnd"/>
            <w:r w:rsidRPr="0059564F">
              <w:rPr>
                <w:sz w:val="20"/>
                <w:szCs w:val="20"/>
                <w:lang w:val="en-GB"/>
              </w:rPr>
              <w:t xml:space="preserve"> ISO 1421);</w:t>
            </w:r>
          </w:p>
          <w:p w:rsidR="00E6388F" w:rsidRPr="0059564F" w:rsidRDefault="00E6388F" w:rsidP="00E6388F">
            <w:pPr>
              <w:tabs>
                <w:tab w:val="left" w:pos="430"/>
                <w:tab w:val="left" w:pos="567"/>
              </w:tabs>
              <w:ind w:right="6"/>
              <w:rPr>
                <w:sz w:val="20"/>
                <w:szCs w:val="20"/>
              </w:rPr>
            </w:pPr>
            <w:r w:rsidRPr="0059564F">
              <w:rPr>
                <w:sz w:val="20"/>
                <w:szCs w:val="20"/>
              </w:rPr>
              <w:t>4.2. Atsparumas plyšimui: ≥ 80N</w:t>
            </w:r>
            <w:r w:rsidRPr="0059564F">
              <w:rPr>
                <w:sz w:val="20"/>
                <w:szCs w:val="20"/>
                <w:lang w:val="en-GB"/>
              </w:rPr>
              <w:t xml:space="preserve"> (</w:t>
            </w:r>
            <w:proofErr w:type="spellStart"/>
            <w:r w:rsidRPr="0059564F">
              <w:rPr>
                <w:sz w:val="20"/>
                <w:szCs w:val="20"/>
                <w:lang w:val="en-GB"/>
              </w:rPr>
              <w:t>Bandymo</w:t>
            </w:r>
            <w:proofErr w:type="spellEnd"/>
            <w:r w:rsidRPr="0059564F">
              <w:rPr>
                <w:sz w:val="20"/>
                <w:szCs w:val="20"/>
                <w:lang w:val="en-GB"/>
              </w:rPr>
              <w:t xml:space="preserve"> </w:t>
            </w:r>
            <w:proofErr w:type="spellStart"/>
            <w:r w:rsidRPr="0059564F">
              <w:rPr>
                <w:sz w:val="20"/>
                <w:szCs w:val="20"/>
                <w:lang w:val="en-GB"/>
              </w:rPr>
              <w:t>metodas</w:t>
            </w:r>
            <w:proofErr w:type="spellEnd"/>
            <w:r w:rsidRPr="0059564F">
              <w:rPr>
                <w:sz w:val="20"/>
                <w:szCs w:val="20"/>
                <w:lang w:val="en-GB"/>
              </w:rPr>
              <w:t xml:space="preserve"> ISO 9073-4:1997);</w:t>
            </w:r>
          </w:p>
          <w:p w:rsidR="00E6388F" w:rsidRPr="0059564F" w:rsidRDefault="00E6388F" w:rsidP="00E6388F">
            <w:pPr>
              <w:pStyle w:val="ListParagraph"/>
              <w:numPr>
                <w:ilvl w:val="1"/>
                <w:numId w:val="37"/>
              </w:numPr>
              <w:spacing w:line="276" w:lineRule="auto"/>
              <w:rPr>
                <w:sz w:val="20"/>
                <w:szCs w:val="20"/>
              </w:rPr>
            </w:pPr>
            <w:r w:rsidRPr="0059564F">
              <w:rPr>
                <w:rFonts w:eastAsia="Times New Roman"/>
                <w:sz w:val="20"/>
                <w:szCs w:val="20"/>
              </w:rPr>
              <w:t xml:space="preserve"> Medžiaga: megztas sintetinis pluoštas.</w:t>
            </w:r>
          </w:p>
        </w:tc>
      </w:tr>
      <w:tr w:rsidR="00E6388F" w:rsidRPr="0059564F" w:rsidTr="00E6388F">
        <w:trPr>
          <w:trHeight w:val="878"/>
        </w:trPr>
        <w:tc>
          <w:tcPr>
            <w:tcW w:w="7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sz w:val="20"/>
                <w:szCs w:val="20"/>
              </w:rPr>
              <w:t>5</w:t>
            </w:r>
          </w:p>
        </w:tc>
        <w:tc>
          <w:tcPr>
            <w:tcW w:w="2977"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ind w:left="6"/>
              <w:jc w:val="center"/>
              <w:rPr>
                <w:b/>
                <w:sz w:val="20"/>
                <w:szCs w:val="20"/>
              </w:rPr>
            </w:pPr>
            <w:r w:rsidRPr="0059564F">
              <w:rPr>
                <w:b/>
                <w:sz w:val="20"/>
                <w:szCs w:val="20"/>
              </w:rPr>
              <w:t xml:space="preserve">Maskuojančių tinklų maskuotės sistemos atsparumas greičiui </w:t>
            </w:r>
          </w:p>
        </w:tc>
        <w:tc>
          <w:tcPr>
            <w:tcW w:w="6804" w:type="dxa"/>
            <w:tcBorders>
              <w:top w:val="single" w:sz="4" w:space="0" w:color="000000"/>
              <w:left w:val="single" w:sz="4" w:space="0" w:color="000000"/>
              <w:bottom w:val="single" w:sz="4" w:space="0" w:color="000000"/>
              <w:right w:val="single" w:sz="4" w:space="0" w:color="000000"/>
            </w:tcBorders>
            <w:vAlign w:val="center"/>
          </w:tcPr>
          <w:p w:rsidR="00E6388F" w:rsidRPr="0059564F" w:rsidRDefault="00E6388F" w:rsidP="00E6388F">
            <w:pPr>
              <w:pStyle w:val="ListParagraph"/>
              <w:numPr>
                <w:ilvl w:val="1"/>
                <w:numId w:val="38"/>
              </w:numPr>
              <w:spacing w:line="276" w:lineRule="auto"/>
              <w:rPr>
                <w:rFonts w:eastAsia="Times New Roman"/>
                <w:sz w:val="20"/>
                <w:szCs w:val="20"/>
              </w:rPr>
            </w:pPr>
            <w:r w:rsidRPr="0059564F">
              <w:rPr>
                <w:rFonts w:eastAsia="Times New Roman"/>
                <w:sz w:val="20"/>
                <w:szCs w:val="20"/>
              </w:rPr>
              <w:t xml:space="preserve">Judant 90 km/h (+/- 5) greičiu visureigis turi būti padegtas MTMS išskyrus visureigio vairuotojui matomumą trukdančias vietas (stiklas ir pan.); </w:t>
            </w:r>
          </w:p>
          <w:p w:rsidR="00E6388F" w:rsidRPr="0059564F" w:rsidRDefault="00E6388F" w:rsidP="00E6388F">
            <w:pPr>
              <w:pStyle w:val="ListParagraph"/>
              <w:numPr>
                <w:ilvl w:val="1"/>
                <w:numId w:val="38"/>
              </w:numPr>
              <w:spacing w:line="276" w:lineRule="auto"/>
              <w:rPr>
                <w:rFonts w:eastAsia="Times New Roman"/>
                <w:sz w:val="20"/>
                <w:szCs w:val="20"/>
              </w:rPr>
            </w:pPr>
            <w:r w:rsidRPr="0059564F">
              <w:rPr>
                <w:rFonts w:eastAsia="Times New Roman"/>
                <w:sz w:val="20"/>
                <w:szCs w:val="20"/>
              </w:rPr>
              <w:t xml:space="preserve">Visureigiui esant stacionarioje pozicijoje jis turi būti padengtas visas </w:t>
            </w:r>
            <w:r w:rsidRPr="0059564F">
              <w:rPr>
                <w:bCs/>
                <w:color w:val="0D0D0D" w:themeColor="text1" w:themeTint="F2"/>
                <w:sz w:val="20"/>
                <w:szCs w:val="20"/>
              </w:rPr>
              <w:t>MTMS bei</w:t>
            </w:r>
            <w:r w:rsidRPr="0059564F">
              <w:rPr>
                <w:rFonts w:eastAsia="Times New Roman"/>
                <w:sz w:val="20"/>
                <w:szCs w:val="20"/>
              </w:rPr>
              <w:t xml:space="preserve"> </w:t>
            </w:r>
            <w:r w:rsidRPr="0059564F">
              <w:rPr>
                <w:bCs/>
                <w:color w:val="0D0D0D" w:themeColor="text1" w:themeTint="F2"/>
                <w:sz w:val="20"/>
                <w:szCs w:val="20"/>
              </w:rPr>
              <w:t>STMS.</w:t>
            </w:r>
          </w:p>
        </w:tc>
      </w:tr>
    </w:tbl>
    <w:p w:rsidR="00880924" w:rsidRPr="00A779ED" w:rsidRDefault="00880924">
      <w:pPr>
        <w:spacing w:after="200" w:line="276" w:lineRule="auto"/>
      </w:pPr>
    </w:p>
    <w:sectPr w:rsidR="00880924" w:rsidRPr="00A779ED" w:rsidSect="00B964CB">
      <w:pgSz w:w="11906" w:h="16838" w:code="9"/>
      <w:pgMar w:top="851"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02EFC"/>
    <w:multiLevelType w:val="multilevel"/>
    <w:tmpl w:val="845417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64C50E7"/>
    <w:multiLevelType w:val="multilevel"/>
    <w:tmpl w:val="DC80A8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C073B03"/>
    <w:multiLevelType w:val="multilevel"/>
    <w:tmpl w:val="4F5E441C"/>
    <w:lvl w:ilvl="0">
      <w:start w:val="1"/>
      <w:numFmt w:val="decimal"/>
      <w:lvlText w:val="%1."/>
      <w:lvlJc w:val="right"/>
      <w:pPr>
        <w:ind w:left="720" w:hanging="360"/>
      </w:pPr>
      <w:rPr>
        <w:rFonts w:ascii="Times New Roman" w:eastAsia="Times New Roman" w:hAnsi="Times New Roman" w:cs="Times New Roman" w:hint="default"/>
      </w:rPr>
    </w:lvl>
    <w:lvl w:ilvl="1">
      <w:start w:val="1"/>
      <w:numFmt w:val="decimal"/>
      <w:isLgl/>
      <w:lvlText w:val="%1.%2"/>
      <w:lvlJc w:val="left"/>
      <w:pPr>
        <w:ind w:left="1110" w:hanging="390"/>
      </w:pPr>
      <w:rPr>
        <w:rFonts w:hint="default"/>
        <w:b w:val="0"/>
        <w:bCs w:val="0"/>
      </w:rPr>
    </w:lvl>
    <w:lvl w:ilvl="2">
      <w:start w:val="1"/>
      <w:numFmt w:val="decimal"/>
      <w:isLgl/>
      <w:lvlText w:val="%1.4.%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E15A8E"/>
    <w:multiLevelType w:val="multilevel"/>
    <w:tmpl w:val="B5643E24"/>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DAB05A4"/>
    <w:multiLevelType w:val="multilevel"/>
    <w:tmpl w:val="E482E2DA"/>
    <w:lvl w:ilvl="0">
      <w:start w:val="2"/>
      <w:numFmt w:val="none"/>
      <w:lvlText w:val="1."/>
      <w:lvlJc w:val="left"/>
      <w:pPr>
        <w:ind w:left="360" w:hanging="360"/>
      </w:pPr>
      <w:rPr>
        <w:rFonts w:hint="default"/>
        <w:b w:val="0"/>
      </w:rPr>
    </w:lvl>
    <w:lvl w:ilvl="1">
      <w:start w:val="1"/>
      <w:numFmt w:val="decimal"/>
      <w:lvlText w:val="1%1.%2."/>
      <w:lvlJc w:val="left"/>
      <w:pPr>
        <w:ind w:left="737" w:hanging="737"/>
      </w:pPr>
      <w:rPr>
        <w:rFonts w:hint="default"/>
        <w:color w:val="auto"/>
        <w:sz w:val="22"/>
      </w:rPr>
    </w:lvl>
    <w:lvl w:ilvl="2">
      <w:start w:val="1"/>
      <w:numFmt w:val="decimal"/>
      <w:lvlText w:val="1%1.11.%3."/>
      <w:lvlJc w:val="left"/>
      <w:pPr>
        <w:ind w:left="567" w:hanging="510"/>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C76628"/>
    <w:multiLevelType w:val="multilevel"/>
    <w:tmpl w:val="AC5E0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0"/>
  </w:num>
  <w:num w:numId="3">
    <w:abstractNumId w:val="26"/>
  </w:num>
  <w:num w:numId="4">
    <w:abstractNumId w:val="3"/>
  </w:num>
  <w:num w:numId="5">
    <w:abstractNumId w:val="32"/>
  </w:num>
  <w:num w:numId="6">
    <w:abstractNumId w:val="29"/>
  </w:num>
  <w:num w:numId="7">
    <w:abstractNumId w:val="16"/>
  </w:num>
  <w:num w:numId="8">
    <w:abstractNumId w:val="27"/>
  </w:num>
  <w:num w:numId="9">
    <w:abstractNumId w:val="14"/>
  </w:num>
  <w:num w:numId="10">
    <w:abstractNumId w:val="20"/>
  </w:num>
  <w:num w:numId="11">
    <w:abstractNumId w:val="18"/>
  </w:num>
  <w:num w:numId="12">
    <w:abstractNumId w:val="22"/>
  </w:num>
  <w:num w:numId="13">
    <w:abstractNumId w:val="15"/>
  </w:num>
  <w:num w:numId="14">
    <w:abstractNumId w:val="33"/>
  </w:num>
  <w:num w:numId="15">
    <w:abstractNumId w:val="17"/>
  </w:num>
  <w:num w:numId="16">
    <w:abstractNumId w:val="13"/>
  </w:num>
  <w:num w:numId="17">
    <w:abstractNumId w:val="23"/>
  </w:num>
  <w:num w:numId="18">
    <w:abstractNumId w:val="9"/>
  </w:num>
  <w:num w:numId="19">
    <w:abstractNumId w:val="21"/>
  </w:num>
  <w:num w:numId="20">
    <w:abstractNumId w:val="24"/>
  </w:num>
  <w:num w:numId="21">
    <w:abstractNumId w:val="31"/>
  </w:num>
  <w:num w:numId="22">
    <w:abstractNumId w:val="5"/>
  </w:num>
  <w:num w:numId="23">
    <w:abstractNumId w:val="37"/>
  </w:num>
  <w:num w:numId="24">
    <w:abstractNumId w:val="1"/>
  </w:num>
  <w:num w:numId="25">
    <w:abstractNumId w:val="25"/>
  </w:num>
  <w:num w:numId="26">
    <w:abstractNumId w:val="0"/>
  </w:num>
  <w:num w:numId="27">
    <w:abstractNumId w:val="7"/>
  </w:num>
  <w:num w:numId="28">
    <w:abstractNumId w:val="10"/>
  </w:num>
  <w:num w:numId="29">
    <w:abstractNumId w:val="28"/>
  </w:num>
  <w:num w:numId="30">
    <w:abstractNumId w:val="11"/>
  </w:num>
  <w:num w:numId="31">
    <w:abstractNumId w:val="35"/>
  </w:num>
  <w:num w:numId="32">
    <w:abstractNumId w:val="6"/>
  </w:num>
  <w:num w:numId="33">
    <w:abstractNumId w:val="12"/>
  </w:num>
  <w:num w:numId="34">
    <w:abstractNumId w:val="34"/>
  </w:num>
  <w:num w:numId="35">
    <w:abstractNumId w:val="36"/>
  </w:num>
  <w:num w:numId="36">
    <w:abstractNumId w:val="19"/>
  </w:num>
  <w:num w:numId="37">
    <w:abstractNumId w:val="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47151"/>
    <w:rsid w:val="00260F9B"/>
    <w:rsid w:val="00267CDB"/>
    <w:rsid w:val="00271D3E"/>
    <w:rsid w:val="00273FD4"/>
    <w:rsid w:val="00293CF3"/>
    <w:rsid w:val="002C6198"/>
    <w:rsid w:val="002D3A01"/>
    <w:rsid w:val="002F1040"/>
    <w:rsid w:val="002F31F9"/>
    <w:rsid w:val="002F3535"/>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97D37"/>
    <w:rsid w:val="003A777D"/>
    <w:rsid w:val="003D597E"/>
    <w:rsid w:val="003E27DF"/>
    <w:rsid w:val="003F27A9"/>
    <w:rsid w:val="00410470"/>
    <w:rsid w:val="00411287"/>
    <w:rsid w:val="00420B73"/>
    <w:rsid w:val="00466EE2"/>
    <w:rsid w:val="00482BE7"/>
    <w:rsid w:val="0048622F"/>
    <w:rsid w:val="0049566C"/>
    <w:rsid w:val="004967F9"/>
    <w:rsid w:val="004A6E65"/>
    <w:rsid w:val="004E4C6D"/>
    <w:rsid w:val="004E63F2"/>
    <w:rsid w:val="004F1625"/>
    <w:rsid w:val="00500A1D"/>
    <w:rsid w:val="00510C30"/>
    <w:rsid w:val="00521A3E"/>
    <w:rsid w:val="00532544"/>
    <w:rsid w:val="0053743F"/>
    <w:rsid w:val="00540BA7"/>
    <w:rsid w:val="00550781"/>
    <w:rsid w:val="00550880"/>
    <w:rsid w:val="00551D3A"/>
    <w:rsid w:val="0056392E"/>
    <w:rsid w:val="005845EC"/>
    <w:rsid w:val="00584CF9"/>
    <w:rsid w:val="00586C04"/>
    <w:rsid w:val="00595E2E"/>
    <w:rsid w:val="005A6572"/>
    <w:rsid w:val="005B2311"/>
    <w:rsid w:val="005B2CB6"/>
    <w:rsid w:val="005C797D"/>
    <w:rsid w:val="005D2E8B"/>
    <w:rsid w:val="005E0CEF"/>
    <w:rsid w:val="005E289B"/>
    <w:rsid w:val="005F41B4"/>
    <w:rsid w:val="005F4508"/>
    <w:rsid w:val="005F605C"/>
    <w:rsid w:val="00600340"/>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7EDF"/>
    <w:rsid w:val="006E3636"/>
    <w:rsid w:val="006E6A4B"/>
    <w:rsid w:val="006E73C8"/>
    <w:rsid w:val="006F0EB7"/>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0BBA"/>
    <w:rsid w:val="008F7B42"/>
    <w:rsid w:val="0090340A"/>
    <w:rsid w:val="00922C08"/>
    <w:rsid w:val="00923962"/>
    <w:rsid w:val="00930863"/>
    <w:rsid w:val="009317B3"/>
    <w:rsid w:val="00932B2B"/>
    <w:rsid w:val="00935451"/>
    <w:rsid w:val="0094172C"/>
    <w:rsid w:val="009479DE"/>
    <w:rsid w:val="0095465F"/>
    <w:rsid w:val="00967972"/>
    <w:rsid w:val="00974AA8"/>
    <w:rsid w:val="00985A17"/>
    <w:rsid w:val="00987B21"/>
    <w:rsid w:val="00987CA9"/>
    <w:rsid w:val="009A2920"/>
    <w:rsid w:val="009A35EF"/>
    <w:rsid w:val="009A703C"/>
    <w:rsid w:val="009B25AF"/>
    <w:rsid w:val="009E45E5"/>
    <w:rsid w:val="009F0976"/>
    <w:rsid w:val="00A07B25"/>
    <w:rsid w:val="00A11BE5"/>
    <w:rsid w:val="00A13E42"/>
    <w:rsid w:val="00A204C4"/>
    <w:rsid w:val="00A2301D"/>
    <w:rsid w:val="00A34FC6"/>
    <w:rsid w:val="00A37690"/>
    <w:rsid w:val="00A420A4"/>
    <w:rsid w:val="00A46BFE"/>
    <w:rsid w:val="00A5083C"/>
    <w:rsid w:val="00A62899"/>
    <w:rsid w:val="00A66A5E"/>
    <w:rsid w:val="00A7025A"/>
    <w:rsid w:val="00A704DE"/>
    <w:rsid w:val="00A71E4A"/>
    <w:rsid w:val="00A73737"/>
    <w:rsid w:val="00A779ED"/>
    <w:rsid w:val="00A77BEC"/>
    <w:rsid w:val="00A77F0D"/>
    <w:rsid w:val="00A974C9"/>
    <w:rsid w:val="00AB1BB2"/>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57506"/>
    <w:rsid w:val="00C764C8"/>
    <w:rsid w:val="00C776D9"/>
    <w:rsid w:val="00C83B41"/>
    <w:rsid w:val="00C87497"/>
    <w:rsid w:val="00C96046"/>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388F"/>
    <w:rsid w:val="00E65D27"/>
    <w:rsid w:val="00E66039"/>
    <w:rsid w:val="00E664CA"/>
    <w:rsid w:val="00E722B6"/>
    <w:rsid w:val="00E80001"/>
    <w:rsid w:val="00E8014F"/>
    <w:rsid w:val="00E93090"/>
    <w:rsid w:val="00EA0E7E"/>
    <w:rsid w:val="00EB2F21"/>
    <w:rsid w:val="00EB5881"/>
    <w:rsid w:val="00EB5AED"/>
    <w:rsid w:val="00ED1113"/>
    <w:rsid w:val="00ED4A4A"/>
    <w:rsid w:val="00EE2625"/>
    <w:rsid w:val="00EE35F5"/>
    <w:rsid w:val="00EE4FD9"/>
    <w:rsid w:val="00EF0FB0"/>
    <w:rsid w:val="00F030C8"/>
    <w:rsid w:val="00F05122"/>
    <w:rsid w:val="00F114C7"/>
    <w:rsid w:val="00F205DD"/>
    <w:rsid w:val="00F22803"/>
    <w:rsid w:val="00F236D4"/>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38BE"/>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Numbering,ERP-List Paragraph,List Paragraph11,List Paragraph2,List Paragraph1"/>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Numbering Char,ERP-List Paragraph Char,List Paragraph11 Char,List Paragraph2 Char,List Paragraph1 Char"/>
    <w:link w:val="ListParagraph"/>
    <w:uiPriority w:val="34"/>
    <w:qFormat/>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 w:type="character" w:customStyle="1" w:styleId="FontStyle12">
    <w:name w:val="Font Style12"/>
    <w:uiPriority w:val="99"/>
    <w:rsid w:val="00A779ED"/>
    <w:rPr>
      <w:rFonts w:ascii="Calibri" w:hAnsi="Calibri" w:cs="Calibri"/>
      <w:sz w:val="22"/>
      <w:szCs w:val="22"/>
    </w:rPr>
  </w:style>
  <w:style w:type="table" w:customStyle="1" w:styleId="TableGrid0">
    <w:name w:val="TableGrid"/>
    <w:rsid w:val="00E6388F"/>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1A4C-5BDD-4B5D-93A9-DEAAF46E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992</Words>
  <Characters>5657</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20</cp:revision>
  <cp:lastPrinted>2022-03-07T13:14:00Z</cp:lastPrinted>
  <dcterms:created xsi:type="dcterms:W3CDTF">2022-10-04T13:25:00Z</dcterms:created>
  <dcterms:modified xsi:type="dcterms:W3CDTF">2025-11-07T08:39:00Z</dcterms:modified>
</cp:coreProperties>
</file>