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83D7" w14:textId="1CFE3E17" w:rsidR="0057677F" w:rsidRPr="00121358" w:rsidRDefault="00671211" w:rsidP="00121358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kern w:val="2"/>
          <w:szCs w:val="24"/>
        </w:rPr>
        <w:t>BIURO</w:t>
      </w:r>
      <w:r w:rsidR="00BE0E9C" w:rsidRPr="00BE0E9C">
        <w:rPr>
          <w:rFonts w:ascii="Calibri" w:hAnsi="Calibri" w:cs="Calibri"/>
          <w:b/>
          <w:bCs/>
          <w:kern w:val="2"/>
          <w:szCs w:val="24"/>
        </w:rPr>
        <w:t xml:space="preserve"> BALDŲ, SKIRTŲ GYDYMO PASKIRTIES PASTATUI, AKACIJŲ AL. 2, KULAUTUVOS MSTL., KAUNO RAJ.</w:t>
      </w:r>
      <w:r w:rsidR="00BE0E9C">
        <w:rPr>
          <w:rFonts w:ascii="Calibri" w:hAnsi="Calibri" w:cs="Calibri"/>
          <w:b/>
          <w:bCs/>
          <w:kern w:val="2"/>
          <w:szCs w:val="24"/>
        </w:rPr>
        <w:t>,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9E56D2" w:rsidRPr="00121358">
        <w:rPr>
          <w:rFonts w:ascii="Calibri" w:hAnsi="Calibri" w:cs="Calibri"/>
          <w:b/>
          <w:bCs/>
          <w:lang w:eastAsia="lt-LT"/>
        </w:rPr>
        <w:t>PIRKIMO</w:t>
      </w:r>
      <w:r w:rsidR="00BE0E9C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FB00AA">
      <w:pPr>
        <w:rPr>
          <w:rFonts w:asciiTheme="minorHAnsi" w:hAnsiTheme="minorHAnsi" w:cstheme="minorHAnsi"/>
        </w:rPr>
      </w:pPr>
    </w:p>
    <w:p w14:paraId="57E1C885" w14:textId="3FB2BB1F" w:rsidR="0057677F" w:rsidRPr="003B5ECE" w:rsidRDefault="00981FBE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671211">
        <w:rPr>
          <w:rFonts w:ascii="Calibri" w:hAnsi="Calibri" w:cs="Calibri"/>
          <w:kern w:val="2"/>
          <w:szCs w:val="24"/>
        </w:rPr>
        <w:t>biuro</w:t>
      </w:r>
      <w:r w:rsidR="00BE0E9C">
        <w:rPr>
          <w:rFonts w:ascii="Calibri" w:hAnsi="Calibri" w:cs="Calibri"/>
          <w:kern w:val="2"/>
          <w:szCs w:val="24"/>
        </w:rPr>
        <w:t xml:space="preserve"> b</w:t>
      </w:r>
      <w:r w:rsidR="00BE0E9C" w:rsidRPr="00383F30">
        <w:rPr>
          <w:rFonts w:ascii="Calibri" w:hAnsi="Calibri" w:cs="Calibri"/>
          <w:kern w:val="2"/>
          <w:szCs w:val="24"/>
        </w:rPr>
        <w:t>aldų, skirtų gydymo paskirties pastatui, Akacijų al. 2, Kulautuvos mstl., Kauno raj.</w:t>
      </w:r>
      <w:r w:rsidR="00BE0E9C">
        <w:rPr>
          <w:rFonts w:ascii="Calibri" w:hAnsi="Calibri" w:cs="Calibri"/>
          <w:kern w:val="2"/>
          <w:szCs w:val="24"/>
        </w:rPr>
        <w:t>, pirkimui</w:t>
      </w:r>
      <w:r w:rsidR="00BE0E9C" w:rsidRPr="00383F30">
        <w:rPr>
          <w:rFonts w:ascii="Calibri" w:hAnsi="Calibri" w:cs="Calibri"/>
          <w:kern w:val="2"/>
          <w:szCs w:val="24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FB00AA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36919BEF" w:rsidR="006D1E41" w:rsidRPr="003B5ECE" w:rsidRDefault="006D1E41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BE0E9C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FB00AA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18A68FE8" w:rsidR="0051120F" w:rsidRPr="003B5ECE" w:rsidRDefault="004B66E7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2025-</w:t>
      </w:r>
      <w:r w:rsidR="00671211">
        <w:rPr>
          <w:rFonts w:asciiTheme="minorHAnsi" w:hAnsiTheme="minorHAnsi" w:cstheme="minorHAnsi"/>
          <w:b/>
          <w:shd w:val="clear" w:color="auto" w:fill="DBE5F1" w:themeFill="accent1" w:themeFillTint="33"/>
        </w:rPr>
        <w:t>11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F55E71">
        <w:rPr>
          <w:rFonts w:asciiTheme="minorHAnsi" w:hAnsiTheme="minorHAnsi" w:cstheme="minorHAnsi"/>
          <w:b/>
          <w:shd w:val="clear" w:color="auto" w:fill="DBE5F1" w:themeFill="accent1" w:themeFillTint="33"/>
        </w:rPr>
        <w:t>13</w:t>
      </w:r>
      <w:bookmarkStart w:id="0" w:name="_GoBack"/>
      <w:bookmarkEnd w:id="0"/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671211">
        <w:rPr>
          <w:rFonts w:asciiTheme="minorHAnsi" w:hAnsiTheme="minorHAnsi" w:cstheme="minorHAnsi"/>
          <w:b/>
          <w:shd w:val="clear" w:color="auto" w:fill="DBE5F1" w:themeFill="accent1" w:themeFillTint="33"/>
        </w:rPr>
        <w:t>12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FB00AA">
      <w:pPr>
        <w:ind w:firstLine="851"/>
        <w:rPr>
          <w:rFonts w:asciiTheme="minorHAnsi" w:hAnsiTheme="minorHAnsi" w:cstheme="minorHAnsi"/>
        </w:rPr>
      </w:pPr>
    </w:p>
    <w:p w14:paraId="18CB634C" w14:textId="409C19BA" w:rsidR="003811A3" w:rsidRDefault="0051120F" w:rsidP="00FB00AA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E0E9C" w:rsidRPr="003B5ECE" w14:paraId="2CC0AF4E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DDFA" w14:textId="58C63FD0" w:rsidR="00BE0E9C" w:rsidRPr="003B5ECE" w:rsidRDefault="00BE0E9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2.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BD7A" w14:textId="1E10EDB9" w:rsidR="00BE0E9C" w:rsidRPr="003B5ECE" w:rsidRDefault="00BE0E9C" w:rsidP="00C5481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sutar</w:t>
            </w:r>
            <w:r>
              <w:rPr>
                <w:rFonts w:asciiTheme="minorHAnsi" w:hAnsiTheme="minorHAnsi" w:cstheme="minorHAnsi"/>
              </w:rPr>
              <w:t>ties</w:t>
            </w:r>
            <w:r w:rsidRPr="00194C25">
              <w:rPr>
                <w:rFonts w:asciiTheme="minorHAnsi" w:hAnsiTheme="minorHAnsi" w:cstheme="minorHAnsi"/>
              </w:rPr>
              <w:t xml:space="preserve"> projekt</w:t>
            </w:r>
            <w:r>
              <w:rPr>
                <w:rFonts w:asciiTheme="minorHAnsi" w:hAnsiTheme="minorHAnsi" w:cstheme="minorHAnsi"/>
              </w:rPr>
              <w:t>e</w:t>
            </w:r>
            <w:r w:rsidRPr="00194C25">
              <w:rPr>
                <w:rFonts w:asciiTheme="minorHAnsi" w:hAnsiTheme="minorHAnsi" w:cstheme="minorHAnsi"/>
              </w:rPr>
              <w:t xml:space="preserve"> nustatytos 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Jei ne, kokios </w:t>
            </w:r>
            <w:r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sutarties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sąlygos Jums nepriimtinos? Atsakymą prašome detalizuoti.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C40" w14:textId="77777777" w:rsidR="00BE0E9C" w:rsidRPr="003B5ECE" w:rsidRDefault="00BE0E9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lastRenderedPageBreak/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51120F">
      <w:pPr>
        <w:pStyle w:val="Betarp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D0F2C" w14:textId="77777777" w:rsidR="00AA7F39" w:rsidRDefault="00AA7F39" w:rsidP="005F2C09">
      <w:pPr>
        <w:spacing w:line="240" w:lineRule="auto"/>
      </w:pPr>
      <w:r>
        <w:separator/>
      </w:r>
    </w:p>
  </w:endnote>
  <w:endnote w:type="continuationSeparator" w:id="0">
    <w:p w14:paraId="3DA7838C" w14:textId="77777777" w:rsidR="00AA7F39" w:rsidRDefault="00AA7F39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DCF3" w14:textId="77777777" w:rsidR="00AA7F39" w:rsidRDefault="00AA7F39" w:rsidP="005F2C09">
      <w:pPr>
        <w:spacing w:line="240" w:lineRule="auto"/>
      </w:pPr>
      <w:r>
        <w:separator/>
      </w:r>
    </w:p>
  </w:footnote>
  <w:footnote w:type="continuationSeparator" w:id="0">
    <w:p w14:paraId="69679D47" w14:textId="77777777" w:rsidR="00AA7F39" w:rsidRDefault="00AA7F39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1CA5A5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F55E7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85221"/>
    <w:rsid w:val="000938C7"/>
    <w:rsid w:val="000951E8"/>
    <w:rsid w:val="000B3037"/>
    <w:rsid w:val="000B4905"/>
    <w:rsid w:val="000B4E41"/>
    <w:rsid w:val="000C4198"/>
    <w:rsid w:val="000C7BCC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21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E0E9C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5E71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CE10-3658-49F7-A001-11677773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Dovilė Lebedinskienė</cp:lastModifiedBy>
  <cp:revision>3</cp:revision>
  <cp:lastPrinted>2023-12-13T15:40:00Z</cp:lastPrinted>
  <dcterms:created xsi:type="dcterms:W3CDTF">2025-11-07T06:57:00Z</dcterms:created>
  <dcterms:modified xsi:type="dcterms:W3CDTF">2025-11-10T07:14:00Z</dcterms:modified>
</cp:coreProperties>
</file>