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1778" w14:textId="3567AB77" w:rsidR="00470A1A" w:rsidRDefault="00076BBC">
      <w:r>
        <w:t>Su konkurso dokumentais pateikti ankstesnio konkurso Klausimai-</w:t>
      </w:r>
      <w:r w:rsidR="009A1180">
        <w:t>atsakymai</w:t>
      </w:r>
      <w:r>
        <w:t>:</w:t>
      </w:r>
    </w:p>
    <w:p w14:paraId="3112E22B" w14:textId="050CD991"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rPr>
        <w:t>6.</w:t>
      </w:r>
      <w:r w:rsidRPr="00076BBC">
        <w:rPr>
          <w:rFonts w:ascii="Times New Roman" w:hAnsi="Times New Roman" w:cs="Times New Roman"/>
          <w:i/>
          <w:sz w:val="20"/>
          <w:szCs w:val="20"/>
        </w:rPr>
        <w:t xml:space="preserve"> Atviro konkurso specialiųjų sąlygų priede Nr. 10 „Veiklų sąrašo forma“ pateiktame veiklų sąraše, kurį Tiekėjai turi užpildyti ir pateikti kartu su pasiūlymu, nurodoma darbų grupė (Eil. Nr. 10) „Gaisrinės saugos dalis“. Kadangi GS projekto dalyje nėra pateiktas sąnaudų kiekių žiniaraštis, prašome patikslinti kokius darbus įkainoti šioje veiklų sąrašo eilutėje? Prašome pridėti sąnaudų kiekių žiniaraštį arba panaikinti šią poziciją iš veiklų sąrašo, jeigu ji neaktuali. </w:t>
      </w:r>
    </w:p>
    <w:p w14:paraId="3C7B4D69" w14:textId="77777777" w:rsidR="00076BBC" w:rsidRPr="00076BBC" w:rsidRDefault="00076BBC" w:rsidP="00076BBC">
      <w:pPr>
        <w:spacing w:after="0" w:line="240" w:lineRule="auto"/>
        <w:jc w:val="both"/>
        <w:rPr>
          <w:rFonts w:ascii="Times New Roman" w:hAnsi="Times New Roman" w:cs="Times New Roman"/>
          <w:b/>
          <w:i/>
          <w:sz w:val="20"/>
          <w:szCs w:val="20"/>
        </w:rPr>
      </w:pPr>
      <w:r w:rsidRPr="00076BBC">
        <w:rPr>
          <w:rFonts w:ascii="Times New Roman" w:hAnsi="Times New Roman" w:cs="Times New Roman"/>
          <w:b/>
          <w:i/>
          <w:sz w:val="20"/>
          <w:szCs w:val="20"/>
        </w:rPr>
        <w:t>Atsakymas:</w:t>
      </w:r>
    </w:p>
    <w:p w14:paraId="61557B0D" w14:textId="77777777"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highlight w:val="yellow"/>
        </w:rPr>
        <w:t>Gaisrinės saugos dalis yra parengta kaip užduotis kitoms projekto dalims.</w:t>
      </w:r>
      <w:r w:rsidRPr="00076BBC">
        <w:rPr>
          <w:rFonts w:ascii="Times New Roman" w:hAnsi="Times New Roman" w:cs="Times New Roman"/>
          <w:i/>
          <w:sz w:val="20"/>
          <w:szCs w:val="20"/>
        </w:rPr>
        <w:t xml:space="preserve"> Parengtoje gaisrinės saugos projektavimo užduotyje yra išvardinti reikalavimai kitoms projekto dalims. Pavyzdžiui durų, sienų ir pertvarų atsparumo ugniai klasė nurodyta architektūrinėje dalyje, vadovaujantis GS PU ir t.t. Medžiagų kiekių žiniaraščiai gaisrinės saugos projekto daliai nerengiami.</w:t>
      </w:r>
    </w:p>
    <w:p w14:paraId="364BE4D0" w14:textId="77777777" w:rsidR="00076BBC" w:rsidRPr="00076BBC" w:rsidRDefault="00076BBC" w:rsidP="00076BBC">
      <w:pPr>
        <w:spacing w:after="0" w:line="240" w:lineRule="auto"/>
        <w:jc w:val="both"/>
        <w:rPr>
          <w:rFonts w:ascii="Times New Roman" w:hAnsi="Times New Roman" w:cs="Times New Roman"/>
          <w:i/>
          <w:sz w:val="20"/>
          <w:szCs w:val="20"/>
        </w:rPr>
      </w:pPr>
    </w:p>
    <w:p w14:paraId="275E8D9F" w14:textId="4CCAAD4B"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rPr>
        <w:t>7.</w:t>
      </w:r>
      <w:r w:rsidRPr="00076BBC">
        <w:rPr>
          <w:rFonts w:ascii="Times New Roman" w:hAnsi="Times New Roman" w:cs="Times New Roman"/>
          <w:i/>
          <w:sz w:val="20"/>
          <w:szCs w:val="20"/>
        </w:rPr>
        <w:t xml:space="preserve"> Atviro konkurso specialiųjų sąlygų priede Nr. 10 „Veiklų sąrašo forma“ pateiktame veiklų sąraše, kurį Tiekėjai turi užpildyti ir pateikti kartu su pasiūlymu, nurodoma darbų grupė (Eil. Nr. 11) „Pasirengimo statybai ir statybos darbų organizavimo dalis“. Kadangi SO projekto dalyje nėra pateiktas sąnaudų kiekių žiniaraštis, prašome patikslinti kokius darbus įkainoti šioje veiklų sąrašo eilutėje? Prašome pridėti sąnaudų kiekių žiniaraštį arba panaikinti šią poziciją iš veiklų sąrašo, jeigu ji neaktuali. </w:t>
      </w:r>
    </w:p>
    <w:p w14:paraId="716BD5D0" w14:textId="77777777" w:rsidR="00076BBC" w:rsidRPr="00076BBC" w:rsidRDefault="00076BBC" w:rsidP="00076BBC">
      <w:pPr>
        <w:spacing w:after="0" w:line="240" w:lineRule="auto"/>
        <w:jc w:val="both"/>
        <w:rPr>
          <w:rFonts w:ascii="Times New Roman" w:hAnsi="Times New Roman" w:cs="Times New Roman"/>
          <w:b/>
          <w:i/>
          <w:sz w:val="20"/>
          <w:szCs w:val="20"/>
        </w:rPr>
      </w:pPr>
      <w:r w:rsidRPr="00076BBC">
        <w:rPr>
          <w:rFonts w:ascii="Times New Roman" w:hAnsi="Times New Roman" w:cs="Times New Roman"/>
          <w:b/>
          <w:i/>
          <w:sz w:val="20"/>
          <w:szCs w:val="20"/>
        </w:rPr>
        <w:t>Atsakymas:</w:t>
      </w:r>
    </w:p>
    <w:p w14:paraId="50F69096" w14:textId="77777777"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highlight w:val="yellow"/>
        </w:rPr>
        <w:t>Statybos darbų organizavimo dalyje pateikiama informacija, kaip statytojas turi organizuoti statybas</w:t>
      </w:r>
      <w:r w:rsidRPr="00076BBC">
        <w:rPr>
          <w:rFonts w:ascii="Times New Roman" w:hAnsi="Times New Roman" w:cs="Times New Roman"/>
          <w:i/>
          <w:sz w:val="20"/>
          <w:szCs w:val="20"/>
        </w:rPr>
        <w:t>: kur stovės statybininkų laikinos patalpos, kur stovės kranas, kur stovės darbuotojų sanitarinės patalpos ir t.t. Yra pateikti skaičiavimai, kiek darbuotojų laikinų patalpų, sanitarinių patalpų ir t.t. turi būti įrengta nuo žmonių skaičiaus (jų kiekį rangovas turi įsivertinti pats, pagal savo įmonės darbuotojų skaičių).  SO brėžinyje yra pavaizduota, kas turi būti sumontuota statybvietėje: pastoliai, informaciniai stendai, laikini stogeliai virš įėjimų, želdinių apsauga, laikina tvora ir t.t. Vadovautis brėžiniu SO-SP-01 ir kitais šios dalies dokumentais.</w:t>
      </w:r>
    </w:p>
    <w:p w14:paraId="59033E34" w14:textId="77777777" w:rsidR="00076BBC" w:rsidRPr="00076BBC" w:rsidRDefault="00076BBC" w:rsidP="00076BBC">
      <w:pPr>
        <w:spacing w:after="0" w:line="240" w:lineRule="auto"/>
        <w:jc w:val="both"/>
        <w:rPr>
          <w:rFonts w:ascii="Times New Roman" w:hAnsi="Times New Roman" w:cs="Times New Roman"/>
          <w:i/>
          <w:sz w:val="20"/>
          <w:szCs w:val="20"/>
        </w:rPr>
      </w:pPr>
    </w:p>
    <w:p w14:paraId="1E15A66E" w14:textId="77777777"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rPr>
        <w:t>8.</w:t>
      </w:r>
      <w:r w:rsidRPr="00076BBC">
        <w:rPr>
          <w:rFonts w:ascii="Times New Roman" w:hAnsi="Times New Roman" w:cs="Times New Roman"/>
          <w:i/>
          <w:sz w:val="20"/>
          <w:szCs w:val="20"/>
        </w:rPr>
        <w:t xml:space="preserve"> Techninio projekto Technologinės dalies sąnaudų žiniaraštyje nurodyta: „Visa įranga, kuri pateikta technologijos dalyje, bus perkama ir montuojama po statinio pridavimo. Perka Užsakovas atskiru pirkimu arba perkelia turimą įrangą“. Prašome patvirtinti, kad Tiekėjams nereikia vertini Technologinėje dalyje pateiktos įrangos bei montavimo darbų. Taip pat, prašome panaikinti Technologinės dalies poziciją iš veiklų sąrašo (pirkimo sąlygų priedas Nr. 10), kurį Tiekėjams reikia užpildyti ir pateikti kartu su pasiūlymu. </w:t>
      </w:r>
    </w:p>
    <w:p w14:paraId="6C76495F" w14:textId="77777777"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b/>
          <w:i/>
          <w:sz w:val="20"/>
          <w:szCs w:val="20"/>
        </w:rPr>
        <w:t>Atsakymas.</w:t>
      </w:r>
      <w:r w:rsidRPr="00076BBC">
        <w:rPr>
          <w:rFonts w:ascii="Times New Roman" w:hAnsi="Times New Roman" w:cs="Times New Roman"/>
          <w:i/>
          <w:sz w:val="20"/>
          <w:szCs w:val="20"/>
        </w:rPr>
        <w:t xml:space="preserve">  </w:t>
      </w:r>
    </w:p>
    <w:p w14:paraId="6529B44B" w14:textId="10E9C4B7" w:rsidR="00076BBC" w:rsidRPr="00076BBC" w:rsidRDefault="00076BBC" w:rsidP="00076BBC">
      <w:pPr>
        <w:spacing w:after="0" w:line="240" w:lineRule="auto"/>
        <w:jc w:val="both"/>
        <w:rPr>
          <w:rFonts w:ascii="Times New Roman" w:hAnsi="Times New Roman" w:cs="Times New Roman"/>
          <w:i/>
          <w:sz w:val="20"/>
          <w:szCs w:val="20"/>
        </w:rPr>
      </w:pPr>
      <w:r w:rsidRPr="00076BBC">
        <w:rPr>
          <w:rFonts w:ascii="Times New Roman" w:hAnsi="Times New Roman" w:cs="Times New Roman"/>
          <w:i/>
          <w:sz w:val="20"/>
          <w:szCs w:val="20"/>
        </w:rPr>
        <w:t>Technologai šį klausimą derino su ligoninės personalu projekto rengimo metu. Numatyta, kokia įranga bus reikalinga</w:t>
      </w:r>
      <w:r w:rsidRPr="00076BBC">
        <w:rPr>
          <w:rFonts w:ascii="Times New Roman" w:hAnsi="Times New Roman" w:cs="Times New Roman"/>
          <w:b/>
          <w:i/>
          <w:sz w:val="20"/>
          <w:szCs w:val="20"/>
          <w:highlight w:val="yellow"/>
        </w:rPr>
        <w:t>. Patvirtinama, ar įranga bus perkama atskiru pirkimu, todėl Rangovas nesiūlo technologinėje dalyje nurodytos įrangos.</w:t>
      </w:r>
    </w:p>
    <w:p w14:paraId="732C560D" w14:textId="1C92167C" w:rsidR="00076BBC" w:rsidRDefault="00076BBC" w:rsidP="00076BBC">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________________________________________________________________________________________________</w:t>
      </w:r>
    </w:p>
    <w:p w14:paraId="1A7F3146" w14:textId="77777777" w:rsidR="00076BBC" w:rsidRPr="00076BBC" w:rsidRDefault="00076BBC" w:rsidP="00076BBC">
      <w:pPr>
        <w:spacing w:after="0" w:line="240" w:lineRule="auto"/>
        <w:jc w:val="both"/>
        <w:rPr>
          <w:rFonts w:ascii="Times New Roman" w:hAnsi="Times New Roman" w:cs="Times New Roman"/>
          <w:i/>
          <w:sz w:val="20"/>
          <w:szCs w:val="20"/>
        </w:rPr>
      </w:pPr>
    </w:p>
    <w:p w14:paraId="06EE2C0F" w14:textId="6FDA0859" w:rsidR="00076BBC" w:rsidRDefault="00076BBC" w:rsidP="00076BBC">
      <w:pPr>
        <w:spacing w:after="120" w:line="240" w:lineRule="auto"/>
        <w:jc w:val="both"/>
        <w:rPr>
          <w:rFonts w:ascii="Times New Roman" w:hAnsi="Times New Roman" w:cs="Times New Roman"/>
        </w:rPr>
      </w:pPr>
      <w:r w:rsidRPr="00076BBC">
        <w:rPr>
          <w:rFonts w:ascii="Times New Roman" w:hAnsi="Times New Roman" w:cs="Times New Roman"/>
        </w:rPr>
        <w:t xml:space="preserve">Tiekėjai turi užpildyti ir pateikti veiklų sąrašą, kuriame turi nurodyti </w:t>
      </w:r>
      <w:r>
        <w:rPr>
          <w:rFonts w:ascii="Times New Roman" w:hAnsi="Times New Roman" w:cs="Times New Roman"/>
        </w:rPr>
        <w:t xml:space="preserve">atskirų konstruktyvų </w:t>
      </w:r>
      <w:r w:rsidRPr="00076BBC">
        <w:rPr>
          <w:rFonts w:ascii="Times New Roman" w:hAnsi="Times New Roman" w:cs="Times New Roman"/>
        </w:rPr>
        <w:t>darbų kainas</w:t>
      </w:r>
      <w:r>
        <w:rPr>
          <w:rFonts w:ascii="Times New Roman" w:hAnsi="Times New Roman" w:cs="Times New Roman"/>
        </w:rPr>
        <w:t>, o tarp jų:</w:t>
      </w:r>
    </w:p>
    <w:tbl>
      <w:tblPr>
        <w:tblW w:w="463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6521"/>
        <w:gridCol w:w="1701"/>
      </w:tblGrid>
      <w:tr w:rsidR="00076BBC" w:rsidRPr="00076BBC" w14:paraId="14AC5AA3" w14:textId="77777777" w:rsidTr="00076BBC">
        <w:tc>
          <w:tcPr>
            <w:tcW w:w="709" w:type="dxa"/>
          </w:tcPr>
          <w:p w14:paraId="1F45D4BC" w14:textId="77777777" w:rsidR="00076BBC" w:rsidRPr="00076BBC" w:rsidRDefault="00076BBC" w:rsidP="00076BBC">
            <w:pPr>
              <w:suppressAutoHyphens/>
              <w:overflowPunct w:val="0"/>
              <w:autoSpaceDE w:val="0"/>
              <w:autoSpaceDN w:val="0"/>
              <w:adjustRightInd w:val="0"/>
              <w:spacing w:after="0" w:line="240" w:lineRule="auto"/>
              <w:ind w:left="-120" w:right="-113" w:firstLine="120"/>
              <w:textAlignment w:val="baseline"/>
              <w:rPr>
                <w:rFonts w:ascii="Times New Roman" w:eastAsiaTheme="minorEastAsia" w:hAnsi="Times New Roman" w:cs="Times New Roman"/>
                <w:b/>
                <w:color w:val="FF0000"/>
                <w:kern w:val="0"/>
                <w:lang w:eastAsia="zh-CN" w:bidi="ar-SA"/>
                <w14:ligatures w14:val="none"/>
              </w:rPr>
            </w:pPr>
            <w:r w:rsidRPr="00076BBC">
              <w:rPr>
                <w:rFonts w:ascii="Times New Roman" w:eastAsiaTheme="minorEastAsia" w:hAnsi="Times New Roman" w:cs="Times New Roman"/>
                <w:b/>
                <w:color w:val="FF0000"/>
                <w:kern w:val="0"/>
                <w:lang w:eastAsia="zh-CN" w:bidi="ar-SA"/>
                <w14:ligatures w14:val="none"/>
              </w:rPr>
              <w:t>9.</w:t>
            </w:r>
          </w:p>
        </w:tc>
        <w:tc>
          <w:tcPr>
            <w:tcW w:w="6521" w:type="dxa"/>
          </w:tcPr>
          <w:p w14:paraId="54FEE6FE" w14:textId="77777777" w:rsidR="00076BBC" w:rsidRPr="00076BBC" w:rsidRDefault="00076BBC" w:rsidP="00076BBC">
            <w:pPr>
              <w:spacing w:after="0" w:line="240" w:lineRule="auto"/>
              <w:ind w:right="-113"/>
              <w:rPr>
                <w:rFonts w:ascii="Times New Roman" w:eastAsiaTheme="minorEastAsia" w:hAnsi="Times New Roman" w:cs="Times New Roman"/>
                <w:b/>
                <w:color w:val="EE0000"/>
                <w:kern w:val="0"/>
                <w:lang w:eastAsia="zh-CN" w:bidi="ar-SA"/>
                <w14:ligatures w14:val="none"/>
              </w:rPr>
            </w:pPr>
            <w:r w:rsidRPr="00076BBC">
              <w:rPr>
                <w:rFonts w:ascii="Times New Roman" w:eastAsiaTheme="minorEastAsia" w:hAnsi="Times New Roman" w:cs="Times New Roman"/>
                <w:b/>
                <w:kern w:val="0"/>
                <w:lang w:eastAsia="zh-CN" w:bidi="ar-SA"/>
                <w14:ligatures w14:val="none"/>
              </w:rPr>
              <w:t>Gaisrinės saugos dalis</w:t>
            </w:r>
          </w:p>
        </w:tc>
        <w:tc>
          <w:tcPr>
            <w:tcW w:w="1701" w:type="dxa"/>
          </w:tcPr>
          <w:p w14:paraId="51F08F0A" w14:textId="77777777" w:rsidR="00076BBC" w:rsidRPr="00076BBC" w:rsidRDefault="00076BBC" w:rsidP="00076BBC">
            <w:pPr>
              <w:spacing w:after="0" w:line="240" w:lineRule="auto"/>
              <w:rPr>
                <w:rFonts w:ascii="Times New Roman" w:eastAsiaTheme="minorEastAsia" w:hAnsi="Times New Roman" w:cs="Times New Roman"/>
                <w:kern w:val="0"/>
                <w:lang w:eastAsia="zh-CN" w:bidi="ar-SA"/>
                <w14:ligatures w14:val="none"/>
              </w:rPr>
            </w:pPr>
          </w:p>
        </w:tc>
      </w:tr>
      <w:tr w:rsidR="00076BBC" w:rsidRPr="00076BBC" w14:paraId="5C226D39" w14:textId="77777777" w:rsidTr="00076BBC">
        <w:trPr>
          <w:trHeight w:val="70"/>
        </w:trPr>
        <w:tc>
          <w:tcPr>
            <w:tcW w:w="709" w:type="dxa"/>
          </w:tcPr>
          <w:p w14:paraId="331DD730" w14:textId="77777777" w:rsidR="00076BBC" w:rsidRPr="00076BBC" w:rsidRDefault="00076BBC" w:rsidP="00076BBC">
            <w:pPr>
              <w:suppressAutoHyphens/>
              <w:overflowPunct w:val="0"/>
              <w:autoSpaceDE w:val="0"/>
              <w:autoSpaceDN w:val="0"/>
              <w:adjustRightInd w:val="0"/>
              <w:spacing w:after="0" w:line="240" w:lineRule="auto"/>
              <w:ind w:left="-120" w:right="-113" w:firstLine="120"/>
              <w:textAlignment w:val="baseline"/>
              <w:rPr>
                <w:rFonts w:ascii="Times New Roman" w:eastAsiaTheme="minorEastAsia" w:hAnsi="Times New Roman" w:cs="Times New Roman"/>
                <w:b/>
                <w:color w:val="FF0000"/>
                <w:kern w:val="0"/>
                <w:lang w:eastAsia="zh-CN" w:bidi="ar-SA"/>
                <w14:ligatures w14:val="none"/>
              </w:rPr>
            </w:pPr>
            <w:r w:rsidRPr="00076BBC">
              <w:rPr>
                <w:rFonts w:ascii="Times New Roman" w:eastAsiaTheme="minorEastAsia" w:hAnsi="Times New Roman" w:cs="Times New Roman"/>
                <w:b/>
                <w:color w:val="FF0000"/>
                <w:kern w:val="0"/>
                <w:lang w:eastAsia="zh-CN" w:bidi="ar-SA"/>
                <w14:ligatures w14:val="none"/>
              </w:rPr>
              <w:t>10.</w:t>
            </w:r>
          </w:p>
        </w:tc>
        <w:tc>
          <w:tcPr>
            <w:tcW w:w="6521" w:type="dxa"/>
          </w:tcPr>
          <w:p w14:paraId="1AD51A37" w14:textId="77777777" w:rsidR="00076BBC" w:rsidRPr="00076BBC" w:rsidRDefault="00076BBC" w:rsidP="00076BBC">
            <w:pPr>
              <w:spacing w:after="0" w:line="240" w:lineRule="auto"/>
              <w:ind w:right="-113"/>
              <w:rPr>
                <w:rFonts w:ascii="Times New Roman" w:eastAsiaTheme="minorEastAsia" w:hAnsi="Times New Roman" w:cs="Times New Roman"/>
                <w:b/>
                <w:color w:val="EE0000"/>
                <w:kern w:val="0"/>
                <w:lang w:eastAsia="zh-CN" w:bidi="ar-SA"/>
                <w14:ligatures w14:val="none"/>
              </w:rPr>
            </w:pPr>
            <w:r w:rsidRPr="00076BBC">
              <w:rPr>
                <w:rFonts w:ascii="Times New Roman" w:eastAsiaTheme="minorEastAsia" w:hAnsi="Times New Roman" w:cs="Times New Roman"/>
                <w:b/>
                <w:kern w:val="0"/>
                <w:lang w:eastAsia="zh-CN" w:bidi="ar-SA"/>
                <w14:ligatures w14:val="none"/>
              </w:rPr>
              <w:t>Pasirengimo statybai ir statybos darbų organizavimo dalis</w:t>
            </w:r>
          </w:p>
        </w:tc>
        <w:tc>
          <w:tcPr>
            <w:tcW w:w="1701" w:type="dxa"/>
          </w:tcPr>
          <w:p w14:paraId="7C5B7848" w14:textId="77777777" w:rsidR="00076BBC" w:rsidRPr="00076BBC" w:rsidRDefault="00076BBC" w:rsidP="00076BBC">
            <w:pPr>
              <w:spacing w:after="0" w:line="240" w:lineRule="auto"/>
              <w:rPr>
                <w:rFonts w:ascii="Times New Roman" w:eastAsiaTheme="minorEastAsia" w:hAnsi="Times New Roman" w:cs="Times New Roman"/>
                <w:kern w:val="0"/>
                <w:lang w:eastAsia="zh-CN" w:bidi="ar-SA"/>
                <w14:ligatures w14:val="none"/>
              </w:rPr>
            </w:pPr>
          </w:p>
        </w:tc>
      </w:tr>
      <w:tr w:rsidR="00076BBC" w:rsidRPr="00076BBC" w14:paraId="21E0799D" w14:textId="77777777" w:rsidTr="00076BBC">
        <w:tc>
          <w:tcPr>
            <w:tcW w:w="709" w:type="dxa"/>
          </w:tcPr>
          <w:p w14:paraId="2FC50258" w14:textId="77777777" w:rsidR="00076BBC" w:rsidRPr="00076BBC" w:rsidRDefault="00076BBC" w:rsidP="00076BBC">
            <w:pPr>
              <w:suppressAutoHyphens/>
              <w:overflowPunct w:val="0"/>
              <w:autoSpaceDE w:val="0"/>
              <w:autoSpaceDN w:val="0"/>
              <w:adjustRightInd w:val="0"/>
              <w:spacing w:after="0" w:line="240" w:lineRule="auto"/>
              <w:ind w:right="-113"/>
              <w:textAlignment w:val="baseline"/>
              <w:rPr>
                <w:rFonts w:ascii="Times New Roman" w:eastAsiaTheme="minorEastAsia" w:hAnsi="Times New Roman" w:cs="Times New Roman"/>
                <w:b/>
                <w:color w:val="FF0000"/>
                <w:kern w:val="0"/>
                <w:lang w:eastAsia="zh-CN" w:bidi="ar-SA"/>
                <w14:ligatures w14:val="none"/>
              </w:rPr>
            </w:pPr>
            <w:r w:rsidRPr="00076BBC">
              <w:rPr>
                <w:rFonts w:ascii="Times New Roman" w:eastAsiaTheme="minorEastAsia" w:hAnsi="Times New Roman" w:cs="Times New Roman"/>
                <w:b/>
                <w:color w:val="FF0000"/>
                <w:kern w:val="0"/>
                <w:lang w:eastAsia="zh-CN" w:bidi="ar-SA"/>
                <w14:ligatures w14:val="none"/>
              </w:rPr>
              <w:t>11.</w:t>
            </w:r>
          </w:p>
        </w:tc>
        <w:tc>
          <w:tcPr>
            <w:tcW w:w="6521" w:type="dxa"/>
          </w:tcPr>
          <w:p w14:paraId="3FBE74CC" w14:textId="28D06077" w:rsidR="00076BBC" w:rsidRPr="00076BBC" w:rsidRDefault="00076BBC" w:rsidP="00076BBC">
            <w:pPr>
              <w:spacing w:after="0" w:line="240" w:lineRule="auto"/>
              <w:ind w:right="-113"/>
              <w:rPr>
                <w:rFonts w:ascii="Times New Roman" w:eastAsiaTheme="minorEastAsia" w:hAnsi="Times New Roman" w:cs="Times New Roman"/>
                <w:b/>
                <w:color w:val="EE0000"/>
                <w:kern w:val="0"/>
                <w:lang w:eastAsia="zh-CN" w:bidi="ar-SA"/>
                <w14:ligatures w14:val="none"/>
              </w:rPr>
            </w:pPr>
            <w:r w:rsidRPr="00076BBC">
              <w:rPr>
                <w:rFonts w:ascii="Times New Roman" w:eastAsiaTheme="minorEastAsia" w:hAnsi="Times New Roman" w:cs="Times New Roman"/>
                <w:b/>
                <w:kern w:val="0"/>
                <w:lang w:eastAsia="zh-CN" w:bidi="ar-SA"/>
                <w14:ligatures w14:val="none"/>
              </w:rPr>
              <w:t>Technologijų dalis</w:t>
            </w:r>
          </w:p>
        </w:tc>
        <w:tc>
          <w:tcPr>
            <w:tcW w:w="1701" w:type="dxa"/>
          </w:tcPr>
          <w:p w14:paraId="08939C51" w14:textId="77777777" w:rsidR="00076BBC" w:rsidRPr="00076BBC" w:rsidRDefault="00076BBC" w:rsidP="00076BBC">
            <w:pPr>
              <w:spacing w:after="0" w:line="240" w:lineRule="auto"/>
              <w:rPr>
                <w:rFonts w:ascii="Times New Roman" w:eastAsiaTheme="minorEastAsia" w:hAnsi="Times New Roman" w:cs="Times New Roman"/>
                <w:kern w:val="0"/>
                <w:lang w:eastAsia="zh-CN" w:bidi="ar-SA"/>
                <w14:ligatures w14:val="none"/>
              </w:rPr>
            </w:pPr>
          </w:p>
        </w:tc>
      </w:tr>
    </w:tbl>
    <w:p w14:paraId="0A69FE1A" w14:textId="77777777" w:rsidR="00076BBC" w:rsidRDefault="00076BBC" w:rsidP="00076BBC">
      <w:pPr>
        <w:spacing w:after="0" w:line="240" w:lineRule="auto"/>
        <w:jc w:val="both"/>
        <w:rPr>
          <w:rFonts w:ascii="Times New Roman" w:hAnsi="Times New Roman" w:cs="Times New Roman"/>
        </w:rPr>
      </w:pPr>
    </w:p>
    <w:p w14:paraId="4C839AE4" w14:textId="0BCD234B" w:rsidR="00076BBC" w:rsidRDefault="00076BBC" w:rsidP="00076BBC">
      <w:pPr>
        <w:spacing w:after="0" w:line="240" w:lineRule="auto"/>
        <w:jc w:val="both"/>
        <w:rPr>
          <w:rFonts w:ascii="Times New Roman" w:hAnsi="Times New Roman" w:cs="Times New Roman"/>
        </w:rPr>
      </w:pPr>
      <w:r>
        <w:rPr>
          <w:rFonts w:ascii="Times New Roman" w:hAnsi="Times New Roman" w:cs="Times New Roman"/>
        </w:rPr>
        <w:t>Manome, kad veiklų sąrašas turi būti tikslinamas pašalinant / išbraukiant 9, 10 ir 11 eilutes, kadangi:</w:t>
      </w:r>
    </w:p>
    <w:p w14:paraId="57CFA65F" w14:textId="4844AD6F" w:rsidR="00076BBC" w:rsidRDefault="00076BBC" w:rsidP="00076BBC">
      <w:pPr>
        <w:pStyle w:val="Sraopastraipa"/>
        <w:numPr>
          <w:ilvl w:val="0"/>
          <w:numId w:val="1"/>
        </w:numPr>
        <w:spacing w:after="0" w:line="240" w:lineRule="auto"/>
        <w:jc w:val="both"/>
        <w:rPr>
          <w:rFonts w:ascii="Times New Roman" w:hAnsi="Times New Roman" w:cs="Times New Roman"/>
        </w:rPr>
      </w:pPr>
      <w:r>
        <w:rPr>
          <w:rFonts w:ascii="Times New Roman" w:hAnsi="Times New Roman" w:cs="Times New Roman"/>
        </w:rPr>
        <w:t>Gaisrinės saugos dalis yra parengta kaip užduotis kitoms projekto dalims</w:t>
      </w:r>
    </w:p>
    <w:p w14:paraId="58A5B183" w14:textId="0DBE4821" w:rsidR="00076BBC" w:rsidRDefault="00076BBC" w:rsidP="00076BBC">
      <w:pPr>
        <w:pStyle w:val="Sraopastraipa"/>
        <w:numPr>
          <w:ilvl w:val="0"/>
          <w:numId w:val="1"/>
        </w:numPr>
        <w:spacing w:after="0" w:line="240" w:lineRule="auto"/>
        <w:jc w:val="both"/>
        <w:rPr>
          <w:rFonts w:ascii="Times New Roman" w:hAnsi="Times New Roman" w:cs="Times New Roman"/>
        </w:rPr>
      </w:pPr>
      <w:r>
        <w:rPr>
          <w:rFonts w:ascii="Times New Roman" w:hAnsi="Times New Roman" w:cs="Times New Roman"/>
        </w:rPr>
        <w:t>Stat</w:t>
      </w:r>
      <w:r w:rsidR="00F7300F">
        <w:rPr>
          <w:rFonts w:ascii="Times New Roman" w:hAnsi="Times New Roman" w:cs="Times New Roman"/>
        </w:rPr>
        <w:t>ybos organizavimo sąnaudos įvertinamos visose sąmatose kaip statybvietės išlaidos ir atskirai neįsamatinamos.</w:t>
      </w:r>
    </w:p>
    <w:p w14:paraId="460E7BEE" w14:textId="4B098BCA" w:rsidR="00F7300F" w:rsidRDefault="00F7300F" w:rsidP="00076BBC">
      <w:pPr>
        <w:pStyle w:val="Sraopastraipa"/>
        <w:numPr>
          <w:ilvl w:val="0"/>
          <w:numId w:val="1"/>
        </w:numPr>
        <w:spacing w:after="0" w:line="240" w:lineRule="auto"/>
        <w:jc w:val="both"/>
        <w:rPr>
          <w:rFonts w:ascii="Times New Roman" w:hAnsi="Times New Roman" w:cs="Times New Roman"/>
        </w:rPr>
      </w:pPr>
      <w:r>
        <w:rPr>
          <w:rFonts w:ascii="Times New Roman" w:hAnsi="Times New Roman" w:cs="Times New Roman"/>
        </w:rPr>
        <w:t>Technologinė įranga bus perkama atskirai</w:t>
      </w:r>
    </w:p>
    <w:p w14:paraId="33F5F36F" w14:textId="77777777" w:rsidR="00B8039E" w:rsidRDefault="00B8039E" w:rsidP="00B8039E">
      <w:pPr>
        <w:spacing w:after="0" w:line="240" w:lineRule="auto"/>
        <w:jc w:val="both"/>
        <w:rPr>
          <w:rFonts w:ascii="Times New Roman" w:hAnsi="Times New Roman" w:cs="Times New Roman"/>
        </w:rPr>
      </w:pPr>
    </w:p>
    <w:p w14:paraId="7FE4DC1E" w14:textId="77777777" w:rsidR="00B8039E" w:rsidRDefault="00B8039E" w:rsidP="00B8039E">
      <w:pPr>
        <w:spacing w:after="0" w:line="240" w:lineRule="auto"/>
        <w:jc w:val="both"/>
        <w:rPr>
          <w:rFonts w:ascii="Times New Roman" w:hAnsi="Times New Roman" w:cs="Times New Roman"/>
        </w:rPr>
      </w:pPr>
    </w:p>
    <w:p w14:paraId="0D4602ED" w14:textId="68607080" w:rsidR="00B8039E" w:rsidRPr="00227039" w:rsidRDefault="00B8039E" w:rsidP="00B8039E">
      <w:pPr>
        <w:spacing w:after="0" w:line="240" w:lineRule="auto"/>
        <w:jc w:val="both"/>
        <w:rPr>
          <w:rFonts w:ascii="Times New Roman" w:hAnsi="Times New Roman" w:cs="Times New Roman"/>
          <w:i/>
          <w:iCs/>
        </w:rPr>
      </w:pPr>
      <w:r w:rsidRPr="00227039">
        <w:rPr>
          <w:rFonts w:ascii="Times New Roman" w:hAnsi="Times New Roman" w:cs="Times New Roman"/>
          <w:i/>
          <w:iCs/>
        </w:rPr>
        <w:t>Atsakymas:</w:t>
      </w:r>
    </w:p>
    <w:p w14:paraId="6E6E669A" w14:textId="7C1B469A" w:rsidR="00B8039E" w:rsidRPr="00227039" w:rsidRDefault="00B8039E" w:rsidP="00B8039E">
      <w:pPr>
        <w:spacing w:after="0" w:line="240" w:lineRule="auto"/>
        <w:jc w:val="both"/>
        <w:rPr>
          <w:rFonts w:ascii="Times New Roman" w:hAnsi="Times New Roman" w:cs="Times New Roman"/>
          <w:i/>
          <w:iCs/>
        </w:rPr>
      </w:pPr>
      <w:r w:rsidRPr="00227039">
        <w:rPr>
          <w:rFonts w:ascii="Times New Roman" w:hAnsi="Times New Roman" w:cs="Times New Roman"/>
          <w:i/>
          <w:iCs/>
        </w:rPr>
        <w:t>Atsižvelgiama į tai, kad Rangovas, teikdamas pasiūlymą turi įsivertinti</w:t>
      </w:r>
      <w:r w:rsidR="00227039" w:rsidRPr="00227039">
        <w:rPr>
          <w:rFonts w:ascii="Times New Roman" w:hAnsi="Times New Roman" w:cs="Times New Roman"/>
          <w:i/>
          <w:iCs/>
        </w:rPr>
        <w:t xml:space="preserve"> ne tik ki</w:t>
      </w:r>
      <w:r w:rsidRPr="00227039">
        <w:rPr>
          <w:rFonts w:ascii="Times New Roman" w:hAnsi="Times New Roman" w:cs="Times New Roman"/>
          <w:i/>
          <w:iCs/>
        </w:rPr>
        <w:t>ekių žiniarašči</w:t>
      </w:r>
      <w:r w:rsidR="00227039" w:rsidRPr="00227039">
        <w:rPr>
          <w:rFonts w:ascii="Times New Roman" w:hAnsi="Times New Roman" w:cs="Times New Roman"/>
          <w:i/>
          <w:iCs/>
        </w:rPr>
        <w:t>uose</w:t>
      </w:r>
      <w:r w:rsidRPr="00227039">
        <w:rPr>
          <w:rFonts w:ascii="Times New Roman" w:hAnsi="Times New Roman" w:cs="Times New Roman"/>
          <w:i/>
          <w:iCs/>
        </w:rPr>
        <w:t xml:space="preserve"> </w:t>
      </w:r>
      <w:r w:rsidR="00227039" w:rsidRPr="00227039">
        <w:rPr>
          <w:rFonts w:ascii="Times New Roman" w:hAnsi="Times New Roman" w:cs="Times New Roman"/>
          <w:i/>
          <w:iCs/>
        </w:rPr>
        <w:t xml:space="preserve">pateiktus kiekius, tačiau privalo įsivertinti ir esamus aprašymus bei brėžinius. Kadangi pasiūlymas yra bendros kainos, kurios didinimas galimas tik išimtinai esant nenumatytoms aplinkybėms, bet ne dėl kiekių neatitikimo ar pan., todėl gali būti Gaisrinės saugos, Pasirengimo statybai ir statybos </w:t>
      </w:r>
      <w:r w:rsidR="00227039" w:rsidRPr="00227039">
        <w:rPr>
          <w:rFonts w:ascii="Times New Roman" w:hAnsi="Times New Roman" w:cs="Times New Roman"/>
          <w:i/>
          <w:iCs/>
        </w:rPr>
        <w:lastRenderedPageBreak/>
        <w:t xml:space="preserve">organizavimo bei Technologijų </w:t>
      </w:r>
      <w:r w:rsidR="00227039" w:rsidRPr="00227039">
        <w:rPr>
          <w:rFonts w:ascii="Times New Roman" w:hAnsi="Times New Roman" w:cs="Times New Roman"/>
          <w:i/>
          <w:iCs/>
          <w:color w:val="EE0000"/>
        </w:rPr>
        <w:t>dalyse kainos eilutėje nurodomas „0</w:t>
      </w:r>
      <w:r w:rsidR="00227039" w:rsidRPr="00227039">
        <w:rPr>
          <w:rFonts w:ascii="Times New Roman" w:hAnsi="Times New Roman" w:cs="Times New Roman"/>
          <w:i/>
          <w:iCs/>
        </w:rPr>
        <w:t>“, jei Rangovas nenumato jokių darbų šių darbų eilutėse.</w:t>
      </w:r>
    </w:p>
    <w:sectPr w:rsidR="00B8039E" w:rsidRPr="00227039"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D15C6"/>
    <w:multiLevelType w:val="hybridMultilevel"/>
    <w:tmpl w:val="ECC023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192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180"/>
    <w:rsid w:val="00021A9D"/>
    <w:rsid w:val="00076BBC"/>
    <w:rsid w:val="000C0753"/>
    <w:rsid w:val="001B6BE0"/>
    <w:rsid w:val="00227039"/>
    <w:rsid w:val="00386610"/>
    <w:rsid w:val="003E4BB2"/>
    <w:rsid w:val="00470A1A"/>
    <w:rsid w:val="00493E66"/>
    <w:rsid w:val="00522E18"/>
    <w:rsid w:val="00653D0F"/>
    <w:rsid w:val="0072016A"/>
    <w:rsid w:val="00793FFC"/>
    <w:rsid w:val="007A185B"/>
    <w:rsid w:val="00873C27"/>
    <w:rsid w:val="009A1180"/>
    <w:rsid w:val="009A51FA"/>
    <w:rsid w:val="00A30124"/>
    <w:rsid w:val="00B8039E"/>
    <w:rsid w:val="00B93582"/>
    <w:rsid w:val="00C358F5"/>
    <w:rsid w:val="00CB26E1"/>
    <w:rsid w:val="00D554AB"/>
    <w:rsid w:val="00D568BC"/>
    <w:rsid w:val="00EC6340"/>
    <w:rsid w:val="00F7300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418"/>
  <w15:chartTrackingRefBased/>
  <w15:docId w15:val="{7DD0C2AF-732A-4ED7-885C-370F2937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lt-LT"/>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1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1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118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118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118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11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11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11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11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11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11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11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11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11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11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11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11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11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11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11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11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11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1180"/>
    <w:rPr>
      <w:i/>
      <w:iCs/>
      <w:color w:val="404040" w:themeColor="text1" w:themeTint="BF"/>
    </w:rPr>
  </w:style>
  <w:style w:type="paragraph" w:styleId="Sraopastraipa">
    <w:name w:val="List Paragraph"/>
    <w:basedOn w:val="prastasis"/>
    <w:uiPriority w:val="34"/>
    <w:qFormat/>
    <w:rsid w:val="009A1180"/>
    <w:pPr>
      <w:ind w:left="720"/>
      <w:contextualSpacing/>
    </w:pPr>
  </w:style>
  <w:style w:type="character" w:styleId="Rykuspabraukimas">
    <w:name w:val="Intense Emphasis"/>
    <w:basedOn w:val="Numatytasispastraiposriftas"/>
    <w:uiPriority w:val="21"/>
    <w:qFormat/>
    <w:rsid w:val="009A1180"/>
    <w:rPr>
      <w:i/>
      <w:iCs/>
      <w:color w:val="2F5496" w:themeColor="accent1" w:themeShade="BF"/>
    </w:rPr>
  </w:style>
  <w:style w:type="paragraph" w:styleId="Iskirtacitata">
    <w:name w:val="Intense Quote"/>
    <w:basedOn w:val="prastasis"/>
    <w:next w:val="prastasis"/>
    <w:link w:val="IskirtacitataDiagrama"/>
    <w:uiPriority w:val="30"/>
    <w:qFormat/>
    <w:rsid w:val="009A1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1180"/>
    <w:rPr>
      <w:i/>
      <w:iCs/>
      <w:color w:val="2F5496" w:themeColor="accent1" w:themeShade="BF"/>
    </w:rPr>
  </w:style>
  <w:style w:type="character" w:styleId="Rykinuoroda">
    <w:name w:val="Intense Reference"/>
    <w:basedOn w:val="Numatytasispastraiposriftas"/>
    <w:uiPriority w:val="32"/>
    <w:qFormat/>
    <w:rsid w:val="009A1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2601</Words>
  <Characters>1484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2025-11-10T13:48:00Z</dcterms:created>
  <dcterms:modified xsi:type="dcterms:W3CDTF">2025-11-10T15:17:00Z</dcterms:modified>
</cp:coreProperties>
</file>