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11D58" w14:textId="77777777" w:rsidR="00030850" w:rsidRPr="00D0294B" w:rsidRDefault="00030850" w:rsidP="002B54C6">
      <w:pPr>
        <w:pStyle w:val="NoSpacing"/>
        <w:jc w:val="center"/>
        <w:rPr>
          <w:rFonts w:ascii="Times New Roman" w:hAnsi="Times New Roman" w:cs="Times New Roman"/>
          <w:b/>
        </w:rPr>
      </w:pPr>
      <w:bookmarkStart w:id="0" w:name="_GoBack"/>
      <w:bookmarkEnd w:id="0"/>
      <w:r w:rsidRPr="00D0294B">
        <w:rPr>
          <w:rFonts w:ascii="Times New Roman" w:hAnsi="Times New Roman" w:cs="Times New Roman"/>
          <w:b/>
        </w:rPr>
        <w:t>ARTIFICIAL INTELLIGENCE-BASED CLINICAL ACTIVITY MANAGEMENT INFORMATION SYSTEM</w:t>
      </w:r>
    </w:p>
    <w:p w14:paraId="21AFA9D0" w14:textId="77777777" w:rsidR="00030850" w:rsidRPr="00D0294B" w:rsidRDefault="00030850" w:rsidP="002B54C6">
      <w:pPr>
        <w:pStyle w:val="NoSpacing"/>
        <w:jc w:val="center"/>
        <w:rPr>
          <w:rFonts w:ascii="Times New Roman" w:hAnsi="Times New Roman" w:cs="Times New Roman"/>
          <w:b/>
        </w:rPr>
      </w:pPr>
    </w:p>
    <w:p w14:paraId="6B12592A" w14:textId="77777777" w:rsidR="002B54C6" w:rsidRPr="00D0294B" w:rsidRDefault="00030850" w:rsidP="002B54C6">
      <w:pPr>
        <w:pStyle w:val="NoSpacing"/>
        <w:jc w:val="center"/>
        <w:rPr>
          <w:rFonts w:ascii="Times New Roman" w:hAnsi="Times New Roman" w:cs="Times New Roman"/>
          <w:b/>
        </w:rPr>
      </w:pPr>
      <w:r w:rsidRPr="00D0294B">
        <w:rPr>
          <w:rFonts w:ascii="Times New Roman" w:hAnsi="Times New Roman" w:cs="Times New Roman"/>
          <w:b/>
        </w:rPr>
        <w:t>DIRBTINIO INTELEKTO PAGRINDU VEIKIANČIOS KLINIKINĖS VEIKLOS VALDYMO INFORMACINĖ SISTEMA</w:t>
      </w:r>
    </w:p>
    <w:p w14:paraId="39F3A0D6" w14:textId="77777777" w:rsidR="00030850" w:rsidRPr="00D0294B" w:rsidRDefault="00030850" w:rsidP="002B54C6">
      <w:pPr>
        <w:pStyle w:val="NoSpacing"/>
        <w:jc w:val="center"/>
        <w:rPr>
          <w:rFonts w:ascii="Times New Roman" w:hAnsi="Times New Roman" w:cs="Times New Roman"/>
          <w:b/>
        </w:rPr>
      </w:pPr>
    </w:p>
    <w:p w14:paraId="526DFFE4" w14:textId="77777777" w:rsidR="002522D6" w:rsidRPr="00D0294B" w:rsidRDefault="002B54C6" w:rsidP="002B54C6">
      <w:pPr>
        <w:pStyle w:val="NoSpacing"/>
        <w:jc w:val="center"/>
        <w:rPr>
          <w:rFonts w:ascii="Times New Roman" w:hAnsi="Times New Roman" w:cs="Times New Roman"/>
          <w:b/>
        </w:rPr>
      </w:pPr>
      <w:r w:rsidRPr="00D0294B">
        <w:rPr>
          <w:rFonts w:ascii="Times New Roman" w:hAnsi="Times New Roman" w:cs="Times New Roman"/>
          <w:b/>
        </w:rPr>
        <w:t>TECHNICAL REQUIREMENTS</w:t>
      </w:r>
    </w:p>
    <w:p w14:paraId="60FEB8F9" w14:textId="77777777" w:rsidR="00030850" w:rsidRPr="00D0294B" w:rsidRDefault="00030850" w:rsidP="002B54C6">
      <w:pPr>
        <w:pStyle w:val="NoSpacing"/>
        <w:jc w:val="center"/>
        <w:rPr>
          <w:rFonts w:ascii="Times New Roman" w:hAnsi="Times New Roman" w:cs="Times New Roman"/>
          <w:b/>
        </w:rPr>
      </w:pPr>
    </w:p>
    <w:p w14:paraId="270B1EEC" w14:textId="77777777" w:rsidR="002522D6" w:rsidRPr="00D0294B" w:rsidRDefault="002B54C6" w:rsidP="002B54C6">
      <w:pPr>
        <w:pStyle w:val="NoSpacing"/>
        <w:jc w:val="center"/>
        <w:rPr>
          <w:rFonts w:ascii="Times New Roman" w:hAnsi="Times New Roman" w:cs="Times New Roman"/>
          <w:b/>
        </w:rPr>
      </w:pPr>
      <w:r w:rsidRPr="00D0294B">
        <w:rPr>
          <w:rFonts w:ascii="Times New Roman" w:hAnsi="Times New Roman" w:cs="Times New Roman"/>
          <w:b/>
        </w:rPr>
        <w:t>TECHNINIAI REIKALAVIMAI</w:t>
      </w:r>
    </w:p>
    <w:p w14:paraId="70ADFDE0" w14:textId="77777777" w:rsidR="002522D6" w:rsidRPr="00D0294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D0294B">
        <w:rPr>
          <w:rFonts w:ascii="Times New Roman" w:eastAsia="Times New Roman" w:hAnsi="Times New Roman" w:cs="Times New Roman"/>
          <w:color w:val="000000"/>
        </w:rPr>
        <w:tab/>
      </w:r>
      <w:r w:rsidR="00902537" w:rsidRPr="00D0294B">
        <w:rPr>
          <w:rFonts w:ascii="Times New Roman" w:eastAsia="Times New Roman" w:hAnsi="Times New Roman" w:cs="Times New Roman"/>
          <w:color w:val="000000"/>
        </w:rPr>
        <w:t xml:space="preserve">The Hospital of Lithuanian University of Health Sciences Kauno Klinikos (hereinafter referred to as the Contracting Authority) seeks to acquire an artificial intelligence-based information system designed for transcribing doctor-patient conversations and subsequently populating medical documentation. The information system to be acquired must be capable of recognizing medical Lithuanian language as used in clinical practice, transcribing it into text, summarizing the text, and inserting the summarized information into standard anamnesis </w:t>
      </w:r>
      <w:r w:rsidR="00195850" w:rsidRPr="00D0294B">
        <w:rPr>
          <w:rFonts w:ascii="Times New Roman" w:eastAsia="Times New Roman" w:hAnsi="Times New Roman" w:cs="Times New Roman"/>
          <w:color w:val="000000"/>
        </w:rPr>
        <w:t xml:space="preserve">or other medical document </w:t>
      </w:r>
      <w:r w:rsidR="00902537" w:rsidRPr="00D0294B">
        <w:rPr>
          <w:rFonts w:ascii="Times New Roman" w:eastAsia="Times New Roman" w:hAnsi="Times New Roman" w:cs="Times New Roman"/>
          <w:color w:val="000000"/>
        </w:rPr>
        <w:t>data fields.</w:t>
      </w:r>
      <w:r w:rsidRPr="00D0294B">
        <w:rPr>
          <w:rFonts w:ascii="Times New Roman" w:eastAsia="Times New Roman" w:hAnsi="Times New Roman" w:cs="Times New Roman"/>
          <w:color w:val="000000"/>
        </w:rPr>
        <w:t>.</w:t>
      </w:r>
    </w:p>
    <w:p w14:paraId="5DF178C7" w14:textId="77777777" w:rsidR="00902537" w:rsidRPr="00D0294B" w:rsidRDefault="00902537" w:rsidP="00902537">
      <w:pPr>
        <w:pBdr>
          <w:top w:val="nil"/>
          <w:left w:val="nil"/>
          <w:bottom w:val="nil"/>
          <w:right w:val="nil"/>
          <w:between w:val="nil"/>
        </w:pBdr>
        <w:spacing w:before="280" w:after="280"/>
        <w:jc w:val="both"/>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Lietuvos sveikatos mokslų universiteto ligoninė Kauno klinikos (toliau – Perkančioji organizacija) siekia įsigyti dirbtinio intelekto pagrindu veikiančią informacinę sistemą, skirtą gydytojo ir paciento pokalbio transribavimui ir iš to sekančiam medicininių dokumentų užpildymui. Įsigyjama informacinė sistema turi gebėti atpažinti medicinos praktikoje naudojamą lietuvių kalbą, transkribuoti ją į tekstą, tekstą apibendrinti ir patalpinti į standartinius anamnezės </w:t>
      </w:r>
      <w:r w:rsidR="00195850" w:rsidRPr="00D0294B">
        <w:rPr>
          <w:rFonts w:ascii="Times New Roman" w:eastAsia="Times New Roman" w:hAnsi="Times New Roman" w:cs="Times New Roman"/>
          <w:color w:val="000000"/>
        </w:rPr>
        <w:t xml:space="preserve">ar kitų dokumentų </w:t>
      </w:r>
      <w:r w:rsidRPr="00D0294B">
        <w:rPr>
          <w:rFonts w:ascii="Times New Roman" w:eastAsia="Times New Roman" w:hAnsi="Times New Roman" w:cs="Times New Roman"/>
          <w:color w:val="000000"/>
        </w:rPr>
        <w:t>duomenų laukus.</w:t>
      </w:r>
    </w:p>
    <w:p w14:paraId="13B3549F" w14:textId="77777777" w:rsidR="00902537" w:rsidRPr="00D0294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D0294B">
        <w:rPr>
          <w:rFonts w:ascii="Times New Roman" w:eastAsia="Times New Roman" w:hAnsi="Times New Roman" w:cs="Times New Roman"/>
          <w:color w:val="000000"/>
        </w:rPr>
        <w:tab/>
      </w:r>
      <w:r w:rsidR="00902537" w:rsidRPr="00D0294B">
        <w:rPr>
          <w:rFonts w:ascii="Times New Roman" w:eastAsia="Times New Roman" w:hAnsi="Times New Roman" w:cs="Times New Roman"/>
          <w:color w:val="000000"/>
        </w:rPr>
        <w:t xml:space="preserve">The objective is to acquire a standardized, clinically proven information system that is already available on the market and capable of transferring data to the hospital's currently used information system. The information system will need to be implemented in all outpatient service departments of the Contracting Authority. The estimated number of such departments is 37. The preliminary number of physicians who will be working with the system is approximately 730. </w:t>
      </w:r>
    </w:p>
    <w:p w14:paraId="61C20192" w14:textId="77777777" w:rsidR="008B5304" w:rsidRPr="00D0294B" w:rsidRDefault="00FF01E9">
      <w:pPr>
        <w:pBdr>
          <w:top w:val="nil"/>
          <w:left w:val="nil"/>
          <w:bottom w:val="nil"/>
          <w:right w:val="nil"/>
          <w:between w:val="nil"/>
        </w:pBdr>
        <w:spacing w:before="280" w:after="280"/>
        <w:jc w:val="both"/>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Tikslas – įsigyti standartizuotą, rinkoje jau veikiančią klinikinę informacinę sistemą, kuri </w:t>
      </w:r>
      <w:r w:rsidR="008B5304" w:rsidRPr="00D0294B">
        <w:rPr>
          <w:rFonts w:ascii="Times New Roman" w:eastAsia="Times New Roman" w:hAnsi="Times New Roman" w:cs="Times New Roman"/>
          <w:color w:val="000000"/>
        </w:rPr>
        <w:t>gebėtų perkelti duomenis į</w:t>
      </w:r>
      <w:r w:rsidRPr="00D0294B">
        <w:rPr>
          <w:rFonts w:ascii="Times New Roman" w:eastAsia="Times New Roman" w:hAnsi="Times New Roman" w:cs="Times New Roman"/>
          <w:color w:val="000000"/>
        </w:rPr>
        <w:t xml:space="preserve"> </w:t>
      </w:r>
      <w:r w:rsidR="008B5304" w:rsidRPr="00D0294B">
        <w:rPr>
          <w:rFonts w:ascii="Times New Roman" w:eastAsia="Times New Roman" w:hAnsi="Times New Roman" w:cs="Times New Roman"/>
          <w:color w:val="000000"/>
        </w:rPr>
        <w:t xml:space="preserve">šiuo metu naudojamą </w:t>
      </w:r>
      <w:r w:rsidRPr="00D0294B">
        <w:rPr>
          <w:rFonts w:ascii="Times New Roman" w:eastAsia="Times New Roman" w:hAnsi="Times New Roman" w:cs="Times New Roman"/>
          <w:color w:val="000000"/>
        </w:rPr>
        <w:t>ligoninės informacin</w:t>
      </w:r>
      <w:r w:rsidR="008B5304" w:rsidRPr="00D0294B">
        <w:rPr>
          <w:rFonts w:ascii="Times New Roman" w:eastAsia="Times New Roman" w:hAnsi="Times New Roman" w:cs="Times New Roman"/>
          <w:color w:val="000000"/>
        </w:rPr>
        <w:t>ę</w:t>
      </w:r>
      <w:r w:rsidRPr="00D0294B">
        <w:rPr>
          <w:rFonts w:ascii="Times New Roman" w:eastAsia="Times New Roman" w:hAnsi="Times New Roman" w:cs="Times New Roman"/>
          <w:color w:val="000000"/>
        </w:rPr>
        <w:t xml:space="preserve"> sistem</w:t>
      </w:r>
      <w:r w:rsidR="008B5304" w:rsidRPr="00D0294B">
        <w:rPr>
          <w:rFonts w:ascii="Times New Roman" w:eastAsia="Times New Roman" w:hAnsi="Times New Roman" w:cs="Times New Roman"/>
          <w:color w:val="000000"/>
        </w:rPr>
        <w:t>ą</w:t>
      </w:r>
      <w:r w:rsidRPr="00D0294B">
        <w:rPr>
          <w:rFonts w:ascii="Times New Roman" w:eastAsia="Times New Roman" w:hAnsi="Times New Roman" w:cs="Times New Roman"/>
          <w:color w:val="000000"/>
        </w:rPr>
        <w:t>.</w:t>
      </w:r>
      <w:r w:rsidR="008B5304" w:rsidRPr="00D0294B">
        <w:rPr>
          <w:rFonts w:ascii="Times New Roman" w:eastAsia="Times New Roman" w:hAnsi="Times New Roman" w:cs="Times New Roman"/>
          <w:color w:val="000000"/>
        </w:rPr>
        <w:t xml:space="preserve"> Informacinė sistema turės būti įdiegta visuose Perkančiosios organizacijos anmulatorines paslaugas teikiančiuose padaliniuose. Orientacinis padalinių skaičius yra 37. </w:t>
      </w:r>
      <w:r w:rsidR="00902537" w:rsidRPr="00D0294B">
        <w:rPr>
          <w:rFonts w:ascii="Times New Roman" w:eastAsia="Times New Roman" w:hAnsi="Times New Roman" w:cs="Times New Roman"/>
          <w:color w:val="000000"/>
        </w:rPr>
        <w:t>Preliminarus gydytojų, dirbsiančių su sistema kiekis yra 730.</w:t>
      </w:r>
    </w:p>
    <w:p w14:paraId="6AC32583" w14:textId="77777777" w:rsidR="002522D6" w:rsidRPr="00D0294B" w:rsidRDefault="00485347" w:rsidP="00485347">
      <w:pPr>
        <w:rPr>
          <w:rFonts w:ascii="Times New Roman" w:eastAsia="Times New Roman" w:hAnsi="Times New Roman" w:cs="Times New Roman"/>
          <w:color w:val="000000"/>
        </w:rPr>
      </w:pPr>
      <w:r w:rsidRPr="00D0294B">
        <w:rPr>
          <w:rFonts w:ascii="Times New Roman" w:eastAsia="Times New Roman" w:hAnsi="Times New Roman" w:cs="Times New Roman"/>
          <w:color w:val="000000"/>
        </w:rPr>
        <w:br w:type="page"/>
      </w:r>
    </w:p>
    <w:p w14:paraId="5B830CDF" w14:textId="77777777" w:rsidR="002522D6" w:rsidRPr="00D0294B" w:rsidRDefault="00FF01E9">
      <w:pPr>
        <w:pBdr>
          <w:top w:val="nil"/>
          <w:left w:val="nil"/>
          <w:bottom w:val="nil"/>
          <w:right w:val="nil"/>
          <w:between w:val="nil"/>
        </w:pBd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lastRenderedPageBreak/>
        <w:t xml:space="preserve">Functional requirements are listed in table No </w:t>
      </w:r>
      <w:r w:rsidR="008B5304" w:rsidRPr="00D0294B">
        <w:rPr>
          <w:rFonts w:ascii="Times New Roman" w:eastAsia="Times New Roman" w:hAnsi="Times New Roman" w:cs="Times New Roman"/>
          <w:b/>
          <w:color w:val="000000"/>
        </w:rPr>
        <w:t>1</w:t>
      </w:r>
      <w:r w:rsidRPr="00D0294B">
        <w:rPr>
          <w:rFonts w:ascii="Times New Roman" w:eastAsia="Times New Roman" w:hAnsi="Times New Roman" w:cs="Times New Roman"/>
          <w:b/>
          <w:color w:val="000000"/>
        </w:rPr>
        <w:t xml:space="preserve">/ Funkciniai reikalavimai pateikti </w:t>
      </w:r>
      <w:r w:rsidR="008B5304" w:rsidRPr="00D0294B">
        <w:rPr>
          <w:rFonts w:ascii="Times New Roman" w:eastAsia="Times New Roman" w:hAnsi="Times New Roman" w:cs="Times New Roman"/>
          <w:b/>
          <w:color w:val="000000"/>
        </w:rPr>
        <w:t>1</w:t>
      </w:r>
      <w:r w:rsidRPr="00D0294B">
        <w:rPr>
          <w:rFonts w:ascii="Times New Roman" w:eastAsia="Times New Roman" w:hAnsi="Times New Roman" w:cs="Times New Roman"/>
          <w:b/>
          <w:color w:val="000000"/>
        </w:rPr>
        <w:t xml:space="preserve"> lentelėje.</w:t>
      </w:r>
    </w:p>
    <w:p w14:paraId="4D91B1A2" w14:textId="77777777" w:rsidR="002522D6" w:rsidRPr="00D0294B" w:rsidRDefault="00FF01E9">
      <w:pPr>
        <w:pBdr>
          <w:top w:val="nil"/>
          <w:left w:val="nil"/>
          <w:bottom w:val="nil"/>
          <w:right w:val="nil"/>
          <w:between w:val="nil"/>
        </w:pBdr>
        <w:jc w:val="right"/>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Table No </w:t>
      </w:r>
      <w:r w:rsidR="008B5304" w:rsidRPr="00D0294B">
        <w:rPr>
          <w:rFonts w:ascii="Times New Roman" w:eastAsia="Times New Roman" w:hAnsi="Times New Roman" w:cs="Times New Roman"/>
          <w:color w:val="000000"/>
        </w:rPr>
        <w:t>1</w:t>
      </w:r>
      <w:r w:rsidRPr="00D0294B">
        <w:rPr>
          <w:rFonts w:ascii="Times New Roman" w:eastAsia="Times New Roman" w:hAnsi="Times New Roman" w:cs="Times New Roman"/>
          <w:color w:val="000000"/>
        </w:rPr>
        <w:t>/Lentelė Nr</w:t>
      </w:r>
      <w:r w:rsidR="008B5304" w:rsidRPr="00D0294B">
        <w:rPr>
          <w:rFonts w:ascii="Times New Roman" w:eastAsia="Times New Roman" w:hAnsi="Times New Roman" w:cs="Times New Roman"/>
          <w:color w:val="000000"/>
        </w:rPr>
        <w:t>. 1</w:t>
      </w:r>
    </w:p>
    <w:tbl>
      <w:tblPr>
        <w:tblStyle w:val="a4"/>
        <w:tblW w:w="9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2410"/>
        <w:gridCol w:w="2410"/>
        <w:gridCol w:w="3685"/>
      </w:tblGrid>
      <w:tr w:rsidR="003E4638" w:rsidRPr="002D4E7A" w14:paraId="600D4FE7" w14:textId="77777777" w:rsidTr="001B560B">
        <w:trPr>
          <w:trHeight w:val="983"/>
        </w:trPr>
        <w:tc>
          <w:tcPr>
            <w:tcW w:w="1237" w:type="dxa"/>
            <w:shd w:val="clear" w:color="auto" w:fill="DEEAF6" w:themeFill="accent5" w:themeFillTint="33"/>
          </w:tcPr>
          <w:p w14:paraId="69587FE5" w14:textId="77777777" w:rsidR="003E4638" w:rsidRPr="00D0294B" w:rsidRDefault="003E4638" w:rsidP="003E4638">
            <w:pPr>
              <w:pBdr>
                <w:top w:val="nil"/>
                <w:left w:val="nil"/>
                <w:bottom w:val="nil"/>
                <w:right w:val="nil"/>
                <w:between w:val="nil"/>
              </w:pBdr>
              <w:spacing w:after="160" w:line="259" w:lineRule="auto"/>
              <w:ind w:right="180"/>
              <w:jc w:val="cente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Req. No./ Reikalavimo numeris</w:t>
            </w:r>
          </w:p>
        </w:tc>
        <w:tc>
          <w:tcPr>
            <w:tcW w:w="2410" w:type="dxa"/>
            <w:shd w:val="clear" w:color="auto" w:fill="DEEAF6" w:themeFill="accent5" w:themeFillTint="33"/>
          </w:tcPr>
          <w:p w14:paraId="032F718D" w14:textId="77777777" w:rsidR="003E4638" w:rsidRPr="00D0294B"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Definition</w:t>
            </w:r>
          </w:p>
        </w:tc>
        <w:tc>
          <w:tcPr>
            <w:tcW w:w="2410" w:type="dxa"/>
            <w:shd w:val="clear" w:color="auto" w:fill="DEEAF6" w:themeFill="accent5" w:themeFillTint="33"/>
          </w:tcPr>
          <w:p w14:paraId="4E23DD47" w14:textId="77777777" w:rsidR="003E4638" w:rsidRPr="00D0294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Aprašas</w:t>
            </w:r>
          </w:p>
          <w:p w14:paraId="50ECC955" w14:textId="77777777" w:rsidR="003E4638" w:rsidRPr="00D0294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color w:val="000000"/>
              </w:rPr>
            </w:pPr>
          </w:p>
          <w:p w14:paraId="26F498DF" w14:textId="77777777" w:rsidR="003E4638" w:rsidRPr="00D0294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color w:val="000000"/>
              </w:rPr>
            </w:pPr>
          </w:p>
          <w:p w14:paraId="1099786F" w14:textId="77777777" w:rsidR="003E4638" w:rsidRPr="00D0294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p>
        </w:tc>
        <w:tc>
          <w:tcPr>
            <w:tcW w:w="3685" w:type="dxa"/>
            <w:shd w:val="clear" w:color="auto" w:fill="DEEAF6" w:themeFill="accent5" w:themeFillTint="33"/>
          </w:tcPr>
          <w:p w14:paraId="6AADF07F" w14:textId="77777777" w:rsidR="003E4638" w:rsidRPr="00D0294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center"/>
              <w:rPr>
                <w:rFonts w:ascii="Times New Roman" w:eastAsia="Times New Roman" w:hAnsi="Times New Roman" w:cs="Times New Roman"/>
                <w:b/>
                <w:color w:val="000000"/>
              </w:rPr>
            </w:pPr>
            <w:r w:rsidRPr="00D0294B">
              <w:rPr>
                <w:rFonts w:ascii="Times New Roman" w:eastAsia="Times New Roman" w:hAnsi="Times New Roman" w:cs="Times New Roman"/>
                <w:b/>
                <w:color w:val="000000"/>
              </w:rPr>
              <w:t>Atitikimas reikalavimams, Compliance with requirement,</w:t>
            </w:r>
          </w:p>
          <w:p w14:paraId="2DF01E7D" w14:textId="77777777" w:rsidR="003E4638" w:rsidRPr="00D0294B" w:rsidRDefault="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Tiekėjas privalo užpildyti visus laukus, išskyrus </w:t>
            </w:r>
            <w:r w:rsidR="008B5304" w:rsidRPr="00D0294B">
              <w:rPr>
                <w:rFonts w:ascii="Times New Roman" w:eastAsia="Times New Roman" w:hAnsi="Times New Roman" w:cs="Times New Roman"/>
                <w:color w:val="000000"/>
              </w:rPr>
              <w:t>spalvomis paryškintus</w:t>
            </w:r>
            <w:r w:rsidRPr="00D0294B">
              <w:rPr>
                <w:rFonts w:ascii="Times New Roman" w:eastAsia="Times New Roman" w:hAnsi="Times New Roman" w:cs="Times New Roman"/>
                <w:color w:val="000000"/>
              </w:rPr>
              <w:t xml:space="preserve"> antraščių laukus, pateikdamas trumpą aprašymą, kaip siūloma sistema atitiks reikalavimą. Tai yra privalomas reikalavimas. Nepateikus šios informacijos, pasiūlymas bus pašalintas iš atrankos</w:t>
            </w:r>
          </w:p>
          <w:p w14:paraId="6FCE7FE4" w14:textId="77777777" w:rsidR="003E4638" w:rsidRPr="00D0294B" w:rsidRDefault="00902537" w:rsidP="003E463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rPr>
                <w:rFonts w:ascii="Times New Roman" w:eastAsia="Times New Roman" w:hAnsi="Times New Roman" w:cs="Times New Roman"/>
                <w:color w:val="000000"/>
              </w:rPr>
            </w:pPr>
            <w:r w:rsidRPr="00D0294B">
              <w:rPr>
                <w:rFonts w:ascii="Times New Roman" w:eastAsia="Times New Roman" w:hAnsi="Times New Roman" w:cs="Times New Roman"/>
                <w:color w:val="000000"/>
              </w:rPr>
              <w:t>The supplier must fill in all fields except for the header fields highlighted in color, providing a brief description of how the proposed system will meet the requirement. This is a mandatory requirement. Failure to provide this information will result in the proposal being excluded from the selection process.</w:t>
            </w:r>
          </w:p>
        </w:tc>
      </w:tr>
      <w:tr w:rsidR="003E4638" w:rsidRPr="002D4E7A" w14:paraId="0EF46EDB" w14:textId="77777777" w:rsidTr="002B54C6">
        <w:trPr>
          <w:trHeight w:val="435"/>
        </w:trPr>
        <w:tc>
          <w:tcPr>
            <w:tcW w:w="1237" w:type="dxa"/>
            <w:shd w:val="clear" w:color="auto" w:fill="FBE4D5" w:themeFill="accent2" w:themeFillTint="33"/>
          </w:tcPr>
          <w:p w14:paraId="79BF3757" w14:textId="77777777" w:rsidR="003E4638" w:rsidRPr="00D0294B" w:rsidRDefault="003E4638">
            <w:pPr>
              <w:pBdr>
                <w:top w:val="nil"/>
                <w:left w:val="nil"/>
                <w:bottom w:val="nil"/>
                <w:right w:val="nil"/>
                <w:between w:val="nil"/>
              </w:pBdr>
              <w:spacing w:after="160" w:line="259" w:lineRule="auto"/>
              <w:ind w:right="180"/>
              <w:jc w:val="center"/>
              <w:rPr>
                <w:rFonts w:ascii="Times New Roman" w:eastAsia="Times New Roman" w:hAnsi="Times New Roman" w:cs="Times New Roman"/>
                <w:b/>
                <w:color w:val="000000"/>
              </w:rPr>
            </w:pPr>
          </w:p>
        </w:tc>
        <w:tc>
          <w:tcPr>
            <w:tcW w:w="2410" w:type="dxa"/>
            <w:shd w:val="clear" w:color="auto" w:fill="FBE4D5" w:themeFill="accent2" w:themeFillTint="33"/>
          </w:tcPr>
          <w:p w14:paraId="37BB106C" w14:textId="77777777" w:rsidR="003E4638" w:rsidRPr="002D4E7A"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System definition</w:t>
            </w:r>
          </w:p>
        </w:tc>
        <w:tc>
          <w:tcPr>
            <w:tcW w:w="2410" w:type="dxa"/>
            <w:shd w:val="clear" w:color="auto" w:fill="FBE4D5" w:themeFill="accent2" w:themeFillTint="33"/>
          </w:tcPr>
          <w:p w14:paraId="1E71D6FA" w14:textId="77777777" w:rsidR="003E4638" w:rsidRPr="002D4E7A"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Sistemos aprašas</w:t>
            </w:r>
          </w:p>
        </w:tc>
        <w:tc>
          <w:tcPr>
            <w:tcW w:w="3685" w:type="dxa"/>
            <w:shd w:val="clear" w:color="auto" w:fill="FBE4D5" w:themeFill="accent2" w:themeFillTint="33"/>
          </w:tcPr>
          <w:p w14:paraId="10510333" w14:textId="77777777" w:rsidR="003E4638" w:rsidRPr="002D4E7A"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p>
        </w:tc>
      </w:tr>
      <w:tr w:rsidR="003E4638" w:rsidRPr="002D4E7A" w14:paraId="5A0CEF1E" w14:textId="77777777" w:rsidTr="00EA3C97">
        <w:trPr>
          <w:trHeight w:val="435"/>
        </w:trPr>
        <w:tc>
          <w:tcPr>
            <w:tcW w:w="1237" w:type="dxa"/>
          </w:tcPr>
          <w:p w14:paraId="524D8B4B" w14:textId="77777777" w:rsidR="003E4638" w:rsidRPr="00D0294B" w:rsidRDefault="003E4638" w:rsidP="002B54C6">
            <w:pPr>
              <w:numPr>
                <w:ilvl w:val="1"/>
                <w:numId w:val="2"/>
              </w:numPr>
              <w:pBdr>
                <w:top w:val="nil"/>
                <w:left w:val="nil"/>
                <w:bottom w:val="nil"/>
                <w:right w:val="nil"/>
                <w:between w:val="nil"/>
              </w:pBdr>
              <w:spacing w:after="160" w:line="259" w:lineRule="auto"/>
              <w:ind w:right="180" w:hanging="792"/>
              <w:rPr>
                <w:rFonts w:ascii="Times New Roman" w:eastAsia="Times New Roman" w:hAnsi="Times New Roman" w:cs="Times New Roman"/>
                <w:b/>
                <w:color w:val="000000"/>
              </w:rPr>
            </w:pPr>
          </w:p>
        </w:tc>
        <w:tc>
          <w:tcPr>
            <w:tcW w:w="2410" w:type="dxa"/>
          </w:tcPr>
          <w:p w14:paraId="03E59DE2" w14:textId="77777777"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xml:space="preserve">Provide system market known name, manufacturer name, current version Number. and public web page link to system description </w:t>
            </w:r>
          </w:p>
        </w:tc>
        <w:tc>
          <w:tcPr>
            <w:tcW w:w="2410" w:type="dxa"/>
          </w:tcPr>
          <w:p w14:paraId="1AE68E37" w14:textId="77777777"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r w:rsidRPr="002D4E7A">
              <w:rPr>
                <w:rFonts w:ascii="Times New Roman" w:eastAsia="Times New Roman" w:hAnsi="Times New Roman" w:cs="Times New Roman"/>
                <w:color w:val="000000"/>
              </w:rPr>
              <w:t>Pateikite sistemos rinkoje žinomą pavadinimą, gamintojo pavadinimą, esamos versijos numerį ir viešą interneto nuorodą į sistemos aprašymą.</w:t>
            </w:r>
          </w:p>
        </w:tc>
        <w:tc>
          <w:tcPr>
            <w:tcW w:w="3685" w:type="dxa"/>
          </w:tcPr>
          <w:p w14:paraId="19EAA6C7" w14:textId="77777777" w:rsidR="003E4638" w:rsidRPr="002D4E7A" w:rsidRDefault="003E4638">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p>
        </w:tc>
      </w:tr>
      <w:tr w:rsidR="003E4638" w:rsidRPr="002D4E7A" w14:paraId="5574133C" w14:textId="77777777" w:rsidTr="002B54C6">
        <w:trPr>
          <w:trHeight w:val="315"/>
        </w:trPr>
        <w:tc>
          <w:tcPr>
            <w:tcW w:w="1237" w:type="dxa"/>
            <w:shd w:val="clear" w:color="auto" w:fill="FBE4D5" w:themeFill="accent2" w:themeFillTint="33"/>
          </w:tcPr>
          <w:p w14:paraId="3D3E2F09" w14:textId="77777777" w:rsidR="003E4638" w:rsidRPr="00D0294B" w:rsidRDefault="003E4638" w:rsidP="00E44C6A">
            <w:pPr>
              <w:numPr>
                <w:ilvl w:val="1"/>
                <w:numId w:val="2"/>
              </w:numPr>
              <w:pBdr>
                <w:top w:val="nil"/>
                <w:left w:val="nil"/>
                <w:bottom w:val="nil"/>
                <w:right w:val="nil"/>
                <w:between w:val="nil"/>
              </w:pBdr>
              <w:spacing w:after="160" w:line="259" w:lineRule="auto"/>
              <w:ind w:left="426" w:right="169" w:hanging="426"/>
              <w:rPr>
                <w:rFonts w:ascii="Times New Roman" w:eastAsia="Times New Roman" w:hAnsi="Times New Roman" w:cs="Times New Roman"/>
                <w:b/>
                <w:color w:val="000000"/>
              </w:rPr>
            </w:pPr>
          </w:p>
        </w:tc>
        <w:tc>
          <w:tcPr>
            <w:tcW w:w="2410" w:type="dxa"/>
            <w:shd w:val="clear" w:color="auto" w:fill="FBE4D5" w:themeFill="accent2" w:themeFillTint="33"/>
          </w:tcPr>
          <w:p w14:paraId="159F3DA5" w14:textId="77777777" w:rsidR="003E4638" w:rsidRPr="002D4E7A" w:rsidRDefault="00902537" w:rsidP="00485347">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General requirements</w:t>
            </w:r>
          </w:p>
        </w:tc>
        <w:tc>
          <w:tcPr>
            <w:tcW w:w="2410" w:type="dxa"/>
            <w:shd w:val="clear" w:color="auto" w:fill="FBE4D5" w:themeFill="accent2" w:themeFillTint="33"/>
          </w:tcPr>
          <w:p w14:paraId="190CA076" w14:textId="77777777" w:rsidR="003E4638" w:rsidRPr="002D4E7A" w:rsidRDefault="00902537" w:rsidP="00485347">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Bendrieji reikalavimai</w:t>
            </w:r>
          </w:p>
        </w:tc>
        <w:tc>
          <w:tcPr>
            <w:tcW w:w="3685" w:type="dxa"/>
            <w:shd w:val="clear" w:color="auto" w:fill="FBE4D5" w:themeFill="accent2" w:themeFillTint="33"/>
          </w:tcPr>
          <w:p w14:paraId="14748737" w14:textId="77777777"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b/>
                <w:color w:val="000000"/>
              </w:rPr>
            </w:pPr>
          </w:p>
        </w:tc>
      </w:tr>
      <w:tr w:rsidR="003E4638" w:rsidRPr="002D4E7A" w14:paraId="6D180CE0" w14:textId="77777777" w:rsidTr="00EA3C97">
        <w:trPr>
          <w:trHeight w:val="315"/>
        </w:trPr>
        <w:tc>
          <w:tcPr>
            <w:tcW w:w="1237" w:type="dxa"/>
          </w:tcPr>
          <w:p w14:paraId="6112BEDC" w14:textId="77777777" w:rsidR="003E4638" w:rsidRPr="00D0294B" w:rsidRDefault="003E4638" w:rsidP="00E44C6A">
            <w:pPr>
              <w:numPr>
                <w:ilvl w:val="2"/>
                <w:numId w:val="2"/>
              </w:numPr>
              <w:pBdr>
                <w:top w:val="nil"/>
                <w:left w:val="nil"/>
                <w:bottom w:val="nil"/>
                <w:right w:val="nil"/>
                <w:between w:val="nil"/>
              </w:pBdr>
              <w:spacing w:after="160" w:line="259" w:lineRule="auto"/>
              <w:ind w:left="705" w:right="29" w:hanging="283"/>
              <w:rPr>
                <w:rFonts w:ascii="Times New Roman" w:eastAsia="Times New Roman" w:hAnsi="Times New Roman" w:cs="Times New Roman"/>
                <w:b/>
                <w:color w:val="000000"/>
              </w:rPr>
            </w:pPr>
          </w:p>
        </w:tc>
        <w:tc>
          <w:tcPr>
            <w:tcW w:w="2410" w:type="dxa"/>
          </w:tcPr>
          <w:p w14:paraId="2730E480" w14:textId="77777777" w:rsidR="003E4638" w:rsidRPr="00D0294B" w:rsidRDefault="001A5880" w:rsidP="001A5880">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The system must be a registered medical device in the EU (CE mark under MDR Class I).</w:t>
            </w:r>
          </w:p>
        </w:tc>
        <w:tc>
          <w:tcPr>
            <w:tcW w:w="2410" w:type="dxa"/>
          </w:tcPr>
          <w:p w14:paraId="19BACF87" w14:textId="77777777" w:rsidR="003E4638" w:rsidRPr="002D4E7A"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Sistema turi būti registruota kaip medicinos prietaisas ES (CE ženklinimas pagal MDR I klasę).</w:t>
            </w:r>
          </w:p>
        </w:tc>
        <w:tc>
          <w:tcPr>
            <w:tcW w:w="3685" w:type="dxa"/>
          </w:tcPr>
          <w:p w14:paraId="2EB83D65" w14:textId="77777777" w:rsidR="003E4638" w:rsidRPr="002D4E7A"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Pateikti sertifikato kopiją/copy of certificate must be provided</w:t>
            </w:r>
          </w:p>
        </w:tc>
      </w:tr>
      <w:tr w:rsidR="003E4638" w:rsidRPr="002D4E7A" w14:paraId="1A96E7E6" w14:textId="77777777" w:rsidTr="00EA3C97">
        <w:trPr>
          <w:trHeight w:val="315"/>
        </w:trPr>
        <w:tc>
          <w:tcPr>
            <w:tcW w:w="1237" w:type="dxa"/>
          </w:tcPr>
          <w:p w14:paraId="4EB2EEA0" w14:textId="77777777"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17956B4" w14:textId="77777777" w:rsidR="003E4638" w:rsidRPr="00D0294B"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rPr>
              <w:t>The solution must comply in full with GDPR, Lithuanian health data laws, and the EU AI Act</w:t>
            </w:r>
          </w:p>
        </w:tc>
        <w:tc>
          <w:tcPr>
            <w:tcW w:w="2410" w:type="dxa"/>
          </w:tcPr>
          <w:p w14:paraId="6700046A" w14:textId="77777777" w:rsidR="003E4638" w:rsidRPr="002D4E7A"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Sprendimas turi visiškai atitikti BDAR, Lietuvos sveikatos duomenų teisės aktų ir ES Dirbtinio intelekto reglamento reikalavimus.</w:t>
            </w:r>
            <w:r w:rsidR="003E4638" w:rsidRPr="002D4E7A">
              <w:rPr>
                <w:rFonts w:ascii="Times New Roman" w:eastAsia="Times New Roman" w:hAnsi="Times New Roman" w:cs="Times New Roman"/>
                <w:color w:val="000000"/>
              </w:rPr>
              <w:t>.</w:t>
            </w:r>
          </w:p>
        </w:tc>
        <w:tc>
          <w:tcPr>
            <w:tcW w:w="3685" w:type="dxa"/>
          </w:tcPr>
          <w:p w14:paraId="06B64C39" w14:textId="77777777" w:rsidR="003E4638" w:rsidRPr="002D4E7A"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Pateikti gamintojo deklaraciją/Declaration of confirmity must be provided</w:t>
            </w:r>
          </w:p>
        </w:tc>
      </w:tr>
      <w:tr w:rsidR="003E4638" w:rsidRPr="002D4E7A" w14:paraId="3F4A4A65" w14:textId="77777777" w:rsidTr="00EA3C97">
        <w:trPr>
          <w:trHeight w:val="557"/>
        </w:trPr>
        <w:tc>
          <w:tcPr>
            <w:tcW w:w="1237" w:type="dxa"/>
          </w:tcPr>
          <w:p w14:paraId="2A4B1715" w14:textId="77777777"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DC140C5" w14:textId="77777777" w:rsidR="003E4638" w:rsidRPr="00D0294B" w:rsidRDefault="001A5880" w:rsidP="0032204D">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Hosting and data processing must be restricted to the EU domain.</w:t>
            </w:r>
          </w:p>
        </w:tc>
        <w:tc>
          <w:tcPr>
            <w:tcW w:w="2410" w:type="dxa"/>
          </w:tcPr>
          <w:p w14:paraId="19DE8BA1" w14:textId="77777777" w:rsidR="003E4638" w:rsidRPr="002D4E7A"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Duomenų talpinimas ir apdorojimas turi būti vykdomas tik ES ribose.</w:t>
            </w:r>
          </w:p>
        </w:tc>
        <w:tc>
          <w:tcPr>
            <w:tcW w:w="3685" w:type="dxa"/>
          </w:tcPr>
          <w:p w14:paraId="099F4C99" w14:textId="77777777" w:rsidR="003E4638" w:rsidRPr="002D4E7A" w:rsidRDefault="001A588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Pateikti gamintojo/tiekėjo deklaraciją/Declaration of onfirmity must be provided</w:t>
            </w:r>
          </w:p>
        </w:tc>
      </w:tr>
      <w:tr w:rsidR="003E4638" w:rsidRPr="002D4E7A" w14:paraId="203A053D" w14:textId="77777777" w:rsidTr="00EA3C97">
        <w:trPr>
          <w:trHeight w:val="315"/>
        </w:trPr>
        <w:tc>
          <w:tcPr>
            <w:tcW w:w="1237" w:type="dxa"/>
          </w:tcPr>
          <w:p w14:paraId="2014E31A" w14:textId="77777777"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C593130" w14:textId="77777777" w:rsidR="003E4638" w:rsidRPr="00D0294B" w:rsidRDefault="001A5880" w:rsidP="001A5880">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No audio files may be stored; only short encrypted transcription snippets may be processed transiently.</w:t>
            </w:r>
          </w:p>
        </w:tc>
        <w:tc>
          <w:tcPr>
            <w:tcW w:w="2410" w:type="dxa"/>
          </w:tcPr>
          <w:p w14:paraId="64C0E8FC" w14:textId="77777777" w:rsidR="003E4638" w:rsidRPr="002D4E7A" w:rsidRDefault="0032204D">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Garso failai negali būti saugomi; leidžiama tik trumpalaikis užšifruotų transkribuotų iškarpų apdorojimas</w:t>
            </w:r>
          </w:p>
        </w:tc>
        <w:tc>
          <w:tcPr>
            <w:tcW w:w="3685" w:type="dxa"/>
          </w:tcPr>
          <w:p w14:paraId="57B6F0A0" w14:textId="77777777"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2D4E7A" w14:paraId="623449DD" w14:textId="77777777" w:rsidTr="00EA3C97">
        <w:trPr>
          <w:trHeight w:val="315"/>
        </w:trPr>
        <w:tc>
          <w:tcPr>
            <w:tcW w:w="1237" w:type="dxa"/>
          </w:tcPr>
          <w:p w14:paraId="6CE7CA34" w14:textId="77777777"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3450CF4" w14:textId="77777777" w:rsidR="003E4638" w:rsidRPr="00D0294B" w:rsidRDefault="00093F05">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rPr>
              <w:t>Supplier must provide local language note and documentation outputs</w:t>
            </w:r>
          </w:p>
        </w:tc>
        <w:tc>
          <w:tcPr>
            <w:tcW w:w="2410" w:type="dxa"/>
          </w:tcPr>
          <w:p w14:paraId="5B0E9B05" w14:textId="77777777" w:rsidR="003E4638" w:rsidRPr="002D4E7A" w:rsidRDefault="00093F05">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Tiekėjas privalo užtikrinti dokumentacijos ir pastabų išvedimą į lietuvių kalbą.</w:t>
            </w:r>
          </w:p>
        </w:tc>
        <w:tc>
          <w:tcPr>
            <w:tcW w:w="3685" w:type="dxa"/>
          </w:tcPr>
          <w:p w14:paraId="5A5DF95D" w14:textId="77777777"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093F05" w:rsidRPr="002D4E7A" w14:paraId="426862D6" w14:textId="77777777" w:rsidTr="00EA3C97">
        <w:trPr>
          <w:trHeight w:val="315"/>
        </w:trPr>
        <w:tc>
          <w:tcPr>
            <w:tcW w:w="1237" w:type="dxa"/>
          </w:tcPr>
          <w:p w14:paraId="0B027E67" w14:textId="77777777" w:rsidR="00093F05" w:rsidRPr="00D0294B" w:rsidRDefault="00093F05">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9B7E418" w14:textId="77777777" w:rsidR="00093F05" w:rsidRPr="002D4E7A" w:rsidRDefault="00093F05" w:rsidP="00093F05">
            <w:pPr>
              <w:pStyle w:val="p1"/>
              <w:spacing w:before="0" w:beforeAutospacing="0" w:after="0" w:afterAutospacing="0"/>
              <w:rPr>
                <w:rFonts w:ascii="Times New Roman" w:eastAsia="Times New Roman" w:hAnsi="Times New Roman" w:cs="Times New Roman"/>
              </w:rPr>
            </w:pPr>
            <w:r w:rsidRPr="002D4E7A">
              <w:rPr>
                <w:rFonts w:ascii="Times New Roman" w:eastAsia="Times New Roman" w:hAnsi="Times New Roman" w:cs="Times New Roman"/>
              </w:rPr>
              <w:t>Supplier must provide dedicated support by clinical team during rollout at procuring entity.</w:t>
            </w:r>
          </w:p>
        </w:tc>
        <w:tc>
          <w:tcPr>
            <w:tcW w:w="2410" w:type="dxa"/>
          </w:tcPr>
          <w:p w14:paraId="1EB67324" w14:textId="77777777" w:rsidR="00093F05" w:rsidRPr="002D4E7A" w:rsidRDefault="00093F05">
            <w:pPr>
              <w:pBdr>
                <w:top w:val="nil"/>
                <w:left w:val="nil"/>
                <w:bottom w:val="nil"/>
                <w:right w:val="nil"/>
                <w:between w:val="nil"/>
              </w:pBdr>
              <w:spacing w:after="160" w:line="259" w:lineRule="auto"/>
              <w:rPr>
                <w:rFonts w:ascii="Times New Roman" w:eastAsia="Times New Roman" w:hAnsi="Times New Roman" w:cs="Times New Roman"/>
                <w:color w:val="000000"/>
              </w:rPr>
            </w:pPr>
            <w:r w:rsidRPr="00D0294B">
              <w:rPr>
                <w:rFonts w:ascii="Times New Roman" w:eastAsia="Times New Roman" w:hAnsi="Times New Roman" w:cs="Times New Roman"/>
                <w:color w:val="000000"/>
              </w:rPr>
              <w:t xml:space="preserve">Tiekėjas privalo teikti specializuotą klinikinės komandos pagalbą diegimo </w:t>
            </w:r>
            <w:r w:rsidRPr="002D4E7A">
              <w:rPr>
                <w:rFonts w:ascii="Times New Roman" w:eastAsia="Times New Roman" w:hAnsi="Times New Roman" w:cs="Times New Roman"/>
                <w:color w:val="000000"/>
              </w:rPr>
              <w:t>metu, perkančiosios organizacijos patalpose.</w:t>
            </w:r>
          </w:p>
        </w:tc>
        <w:tc>
          <w:tcPr>
            <w:tcW w:w="3685" w:type="dxa"/>
          </w:tcPr>
          <w:p w14:paraId="586C00D2" w14:textId="77777777" w:rsidR="00093F05" w:rsidRPr="002D4E7A" w:rsidRDefault="00093F05">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093F05" w:rsidRPr="002D4E7A" w14:paraId="38C56190" w14:textId="77777777" w:rsidTr="00EA3C97">
        <w:trPr>
          <w:trHeight w:val="315"/>
        </w:trPr>
        <w:tc>
          <w:tcPr>
            <w:tcW w:w="1237" w:type="dxa"/>
          </w:tcPr>
          <w:p w14:paraId="39A490D2" w14:textId="77777777" w:rsidR="00093F05" w:rsidRPr="00D0294B" w:rsidRDefault="00093F05">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954A366" w14:textId="77777777" w:rsidR="00093F05" w:rsidRPr="002D4E7A" w:rsidRDefault="009E5831" w:rsidP="00093F05">
            <w:pPr>
              <w:pStyle w:val="p1"/>
              <w:spacing w:before="0" w:beforeAutospacing="0" w:after="0" w:afterAutospacing="0"/>
              <w:rPr>
                <w:rFonts w:ascii="Times New Roman" w:eastAsia="Times New Roman" w:hAnsi="Times New Roman" w:cs="Times New Roman"/>
              </w:rPr>
            </w:pPr>
            <w:r w:rsidRPr="002D4E7A">
              <w:rPr>
                <w:rFonts w:ascii="Times New Roman" w:eastAsia="Times New Roman" w:hAnsi="Times New Roman" w:cs="Times New Roman"/>
              </w:rPr>
              <w:t>Supplier must ensure at least three onboarding training sessions, each lasting no less than 45 minutes.</w:t>
            </w:r>
          </w:p>
        </w:tc>
        <w:tc>
          <w:tcPr>
            <w:tcW w:w="2410" w:type="dxa"/>
          </w:tcPr>
          <w:p w14:paraId="3F0D7B76" w14:textId="77777777" w:rsidR="00093F05" w:rsidRPr="005B028E" w:rsidRDefault="009E5831">
            <w:pPr>
              <w:pBdr>
                <w:top w:val="nil"/>
                <w:left w:val="nil"/>
                <w:bottom w:val="nil"/>
                <w:right w:val="nil"/>
                <w:between w:val="nil"/>
              </w:pBdr>
              <w:spacing w:after="160" w:line="259" w:lineRule="auto"/>
              <w:rPr>
                <w:rFonts w:ascii="Times New Roman" w:eastAsia="Times New Roman" w:hAnsi="Times New Roman" w:cs="Times New Roman"/>
                <w:color w:val="000000"/>
              </w:rPr>
            </w:pPr>
            <w:r w:rsidRPr="00D0294B">
              <w:rPr>
                <w:rFonts w:ascii="Times New Roman" w:eastAsia="Times New Roman" w:hAnsi="Times New Roman" w:cs="Times New Roman"/>
                <w:color w:val="000000"/>
              </w:rPr>
              <w:t>Tiekėjas privalo užtikrinti ne mažiau kaip tris mokymų sesijas, kurių kiekvienos trukmė būtų ne trumpesnė kai</w:t>
            </w:r>
            <w:r w:rsidRPr="005B028E">
              <w:rPr>
                <w:rFonts w:ascii="Times New Roman" w:eastAsia="Times New Roman" w:hAnsi="Times New Roman" w:cs="Times New Roman"/>
                <w:color w:val="000000"/>
              </w:rPr>
              <w:t>p 45 minutės.</w:t>
            </w:r>
          </w:p>
        </w:tc>
        <w:tc>
          <w:tcPr>
            <w:tcW w:w="3685" w:type="dxa"/>
          </w:tcPr>
          <w:p w14:paraId="03463E01" w14:textId="77777777" w:rsidR="00093F05" w:rsidRPr="005B028E" w:rsidRDefault="00093F05">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2D4E7A" w14:paraId="0F4DC426" w14:textId="77777777" w:rsidTr="002B54C6">
        <w:trPr>
          <w:trHeight w:val="315"/>
        </w:trPr>
        <w:tc>
          <w:tcPr>
            <w:tcW w:w="1237" w:type="dxa"/>
            <w:shd w:val="clear" w:color="auto" w:fill="FBE4D5" w:themeFill="accent2" w:themeFillTint="33"/>
          </w:tcPr>
          <w:p w14:paraId="073CA9CF" w14:textId="77777777" w:rsidR="003E4638" w:rsidRPr="00D0294B" w:rsidRDefault="003E4638">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shd w:val="clear" w:color="auto" w:fill="FBE4D5" w:themeFill="accent2" w:themeFillTint="33"/>
          </w:tcPr>
          <w:p w14:paraId="3D4B222C" w14:textId="77777777" w:rsidR="003E4638" w:rsidRPr="002D4E7A" w:rsidRDefault="0032204D" w:rsidP="001B560B">
            <w:pPr>
              <w:pBdr>
                <w:top w:val="nil"/>
                <w:left w:val="nil"/>
                <w:bottom w:val="nil"/>
                <w:right w:val="nil"/>
                <w:between w:val="nil"/>
              </w:pBdr>
              <w:spacing w:after="160" w:line="259" w:lineRule="auto"/>
              <w:jc w:val="center"/>
              <w:rPr>
                <w:rFonts w:ascii="Times New Roman" w:eastAsia="Times New Roman" w:hAnsi="Times New Roman" w:cs="Times New Roman"/>
                <w:color w:val="000000"/>
              </w:rPr>
            </w:pPr>
            <w:r w:rsidRPr="002D4E7A">
              <w:rPr>
                <w:rFonts w:ascii="Times New Roman" w:eastAsia="Times New Roman" w:hAnsi="Times New Roman" w:cs="Times New Roman"/>
                <w:b/>
                <w:color w:val="000000"/>
              </w:rPr>
              <w:t>Functional requirements</w:t>
            </w:r>
          </w:p>
        </w:tc>
        <w:tc>
          <w:tcPr>
            <w:tcW w:w="2410" w:type="dxa"/>
            <w:shd w:val="clear" w:color="auto" w:fill="FBE4D5" w:themeFill="accent2" w:themeFillTint="33"/>
          </w:tcPr>
          <w:p w14:paraId="066ABFC4" w14:textId="77777777" w:rsidR="003E4638" w:rsidRPr="002D4E7A" w:rsidRDefault="0032204D"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Funkciniai reikalavimai</w:t>
            </w:r>
          </w:p>
        </w:tc>
        <w:tc>
          <w:tcPr>
            <w:tcW w:w="3685" w:type="dxa"/>
            <w:shd w:val="clear" w:color="auto" w:fill="FBE4D5" w:themeFill="accent2" w:themeFillTint="33"/>
          </w:tcPr>
          <w:p w14:paraId="484B6425" w14:textId="77777777"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2D4E7A" w14:paraId="553D4218" w14:textId="77777777" w:rsidTr="00EA3C97">
        <w:trPr>
          <w:trHeight w:val="315"/>
        </w:trPr>
        <w:tc>
          <w:tcPr>
            <w:tcW w:w="1237" w:type="dxa"/>
          </w:tcPr>
          <w:p w14:paraId="356A9E14" w14:textId="77777777"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63F288D" w14:textId="77777777" w:rsidR="003E4638" w:rsidRPr="00D0294B" w:rsidRDefault="00B64C18" w:rsidP="00B64C18">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The system shall automatically generate structured clinical documentation, with related coding support, from patient–clinician conversations.</w:t>
            </w:r>
          </w:p>
        </w:tc>
        <w:tc>
          <w:tcPr>
            <w:tcW w:w="2410" w:type="dxa"/>
          </w:tcPr>
          <w:p w14:paraId="50038768" w14:textId="77777777" w:rsidR="003E4638" w:rsidRPr="002D4E7A" w:rsidRDefault="00B64C18">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xml:space="preserve">Sistema automatiškai generuos struktūruotą klinikinę dokumentaciją iš paciento ir gydytojo pokalbių, kartu pateikdama susijusią </w:t>
            </w:r>
            <w:r w:rsidR="00030850" w:rsidRPr="002D4E7A">
              <w:rPr>
                <w:rFonts w:ascii="Times New Roman" w:eastAsia="Times New Roman" w:hAnsi="Times New Roman" w:cs="Times New Roman"/>
                <w:color w:val="000000"/>
              </w:rPr>
              <w:t xml:space="preserve">klinikinio </w:t>
            </w:r>
            <w:r w:rsidRPr="002D4E7A">
              <w:rPr>
                <w:rFonts w:ascii="Times New Roman" w:eastAsia="Times New Roman" w:hAnsi="Times New Roman" w:cs="Times New Roman"/>
                <w:color w:val="000000"/>
              </w:rPr>
              <w:t>kodavimo pagalbą</w:t>
            </w:r>
          </w:p>
        </w:tc>
        <w:tc>
          <w:tcPr>
            <w:tcW w:w="3685" w:type="dxa"/>
          </w:tcPr>
          <w:p w14:paraId="326E86FC" w14:textId="77777777"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2D4E7A" w14:paraId="19390B43" w14:textId="77777777" w:rsidTr="00EA3C97">
        <w:trPr>
          <w:trHeight w:val="315"/>
        </w:trPr>
        <w:tc>
          <w:tcPr>
            <w:tcW w:w="1237" w:type="dxa"/>
          </w:tcPr>
          <w:p w14:paraId="2A1D76AD" w14:textId="77777777"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75E8A29" w14:textId="77777777" w:rsidR="003E4638" w:rsidRPr="00D0294B" w:rsidRDefault="00B64C18">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rPr>
              <w:t>Draft notes must be editable by clinicians and provide related local (Lithuanian) ICD-10 (medical), procedure, and billing codes</w:t>
            </w:r>
          </w:p>
        </w:tc>
        <w:tc>
          <w:tcPr>
            <w:tcW w:w="2410" w:type="dxa"/>
          </w:tcPr>
          <w:p w14:paraId="10E73365" w14:textId="77777777" w:rsidR="003E4638" w:rsidRPr="002D4E7A" w:rsidRDefault="00B64C18">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Paruoštos pastabos turi būti redaguojamos gydytojų ir turėti susijusius Lietuvos Respublikoje galiojančius TLK-10 (medicinos), procedūrų ir apmokėjimo kodus</w:t>
            </w:r>
          </w:p>
        </w:tc>
        <w:tc>
          <w:tcPr>
            <w:tcW w:w="3685" w:type="dxa"/>
          </w:tcPr>
          <w:p w14:paraId="10AB5DC5" w14:textId="77777777"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2D4E7A" w14:paraId="0C41F28E" w14:textId="77777777" w:rsidTr="00EA3C97">
        <w:trPr>
          <w:trHeight w:val="315"/>
        </w:trPr>
        <w:tc>
          <w:tcPr>
            <w:tcW w:w="1237" w:type="dxa"/>
          </w:tcPr>
          <w:p w14:paraId="3C71C1C3" w14:textId="77777777"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7323270F" w14:textId="77777777" w:rsidR="003E4638" w:rsidRPr="00D0294B" w:rsidRDefault="00B64C18" w:rsidP="00B64C18">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The solution must support all major clinical specialties.</w:t>
            </w:r>
            <w:r w:rsidR="003E4638" w:rsidRPr="00D0294B">
              <w:rPr>
                <w:rFonts w:ascii="Times New Roman" w:eastAsia="Times New Roman" w:hAnsi="Times New Roman" w:cs="Times New Roman"/>
                <w:color w:val="000000"/>
              </w:rPr>
              <w:t>.</w:t>
            </w:r>
          </w:p>
        </w:tc>
        <w:tc>
          <w:tcPr>
            <w:tcW w:w="2410" w:type="dxa"/>
          </w:tcPr>
          <w:p w14:paraId="269E66C2" w14:textId="77777777" w:rsidR="003E4638" w:rsidRPr="002D4E7A" w:rsidRDefault="00B64C18">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Sprendimas turi palaikyti visas pagrindines klinikines specialybes.</w:t>
            </w:r>
          </w:p>
        </w:tc>
        <w:tc>
          <w:tcPr>
            <w:tcW w:w="3685" w:type="dxa"/>
          </w:tcPr>
          <w:p w14:paraId="25D8E124" w14:textId="77777777"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2D4E7A" w14:paraId="363E1642" w14:textId="77777777" w:rsidTr="00EA3C97">
        <w:trPr>
          <w:trHeight w:val="600"/>
        </w:trPr>
        <w:tc>
          <w:tcPr>
            <w:tcW w:w="1237" w:type="dxa"/>
          </w:tcPr>
          <w:p w14:paraId="5902E835" w14:textId="77777777"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5F93230D" w14:textId="77777777" w:rsidR="003E4638" w:rsidRPr="002D4E7A" w:rsidRDefault="00B64C18">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EHR Integration must be in place by the provider within one month of contract awarding.</w:t>
            </w:r>
          </w:p>
        </w:tc>
        <w:tc>
          <w:tcPr>
            <w:tcW w:w="2410" w:type="dxa"/>
          </w:tcPr>
          <w:p w14:paraId="2AB495D9" w14:textId="77777777" w:rsidR="003E4638" w:rsidRPr="002D4E7A" w:rsidRDefault="00B64C18">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Integracija su ligoninės informacine sistema HIS turi būti atlikta tiekėjo per vieną mėnesį nuo sutarties įsigaliojimo</w:t>
            </w:r>
          </w:p>
        </w:tc>
        <w:tc>
          <w:tcPr>
            <w:tcW w:w="3685" w:type="dxa"/>
          </w:tcPr>
          <w:p w14:paraId="6CE55D6D" w14:textId="77777777"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2D4E7A" w14:paraId="78EA10D2" w14:textId="77777777" w:rsidTr="00EA3C97">
        <w:trPr>
          <w:trHeight w:val="315"/>
        </w:trPr>
        <w:tc>
          <w:tcPr>
            <w:tcW w:w="1237" w:type="dxa"/>
          </w:tcPr>
          <w:p w14:paraId="06E8BEF7" w14:textId="77777777"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9F2CD2B" w14:textId="77777777" w:rsidR="003E4638" w:rsidRPr="00D0294B" w:rsidRDefault="00F30D92" w:rsidP="00F30D92">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A web-based interface with secure authentication (incl. smartcards or SSO) must be provided.</w:t>
            </w:r>
          </w:p>
        </w:tc>
        <w:tc>
          <w:tcPr>
            <w:tcW w:w="2410" w:type="dxa"/>
          </w:tcPr>
          <w:p w14:paraId="62B5B061" w14:textId="77777777" w:rsidR="003E4638" w:rsidRPr="002D4E7A" w:rsidRDefault="00F30D92">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Turi būti suteikta internetinė sąsaja su saugia autentikacija (įskaitant lustines korteles arba SSO)</w:t>
            </w:r>
          </w:p>
        </w:tc>
        <w:tc>
          <w:tcPr>
            <w:tcW w:w="3685" w:type="dxa"/>
          </w:tcPr>
          <w:p w14:paraId="6F3C5732" w14:textId="77777777"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2D4E7A" w14:paraId="2817A1D6" w14:textId="77777777" w:rsidTr="00EA3C97">
        <w:trPr>
          <w:trHeight w:val="600"/>
        </w:trPr>
        <w:tc>
          <w:tcPr>
            <w:tcW w:w="1237" w:type="dxa"/>
          </w:tcPr>
          <w:p w14:paraId="46944BA3" w14:textId="77777777"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42269617" w14:textId="77777777" w:rsidR="00F34C14" w:rsidRPr="002D4E7A" w:rsidRDefault="00F34C14" w:rsidP="002D4E7A">
            <w:pPr>
              <w:pStyle w:val="p1"/>
              <w:spacing w:before="0" w:beforeAutospacing="0" w:after="0" w:afterAutospacing="0"/>
              <w:ind w:left="32"/>
              <w:rPr>
                <w:rFonts w:ascii="Times New Roman" w:eastAsia="Times New Roman" w:hAnsi="Times New Roman" w:cs="Times New Roman"/>
              </w:rPr>
            </w:pPr>
            <w:r w:rsidRPr="002D4E7A">
              <w:rPr>
                <w:rFonts w:ascii="Times New Roman" w:eastAsia="Times New Roman" w:hAnsi="Times New Roman" w:cs="Times New Roman"/>
              </w:rPr>
              <w:t>The solution must include modules for:</w:t>
            </w:r>
          </w:p>
          <w:p w14:paraId="5D58BD15" w14:textId="77777777" w:rsidR="00F34C14" w:rsidRPr="002D4E7A" w:rsidRDefault="00F34C14" w:rsidP="002D4E7A">
            <w:pPr>
              <w:pStyle w:val="p1"/>
              <w:spacing w:before="0" w:beforeAutospacing="0" w:after="0" w:afterAutospacing="0"/>
              <w:ind w:left="32"/>
              <w:rPr>
                <w:rFonts w:ascii="Times New Roman" w:eastAsia="Times New Roman" w:hAnsi="Times New Roman" w:cs="Times New Roman"/>
              </w:rPr>
            </w:pPr>
            <w:r w:rsidRPr="002D4E7A">
              <w:rPr>
                <w:rFonts w:ascii="Times New Roman" w:eastAsia="Times New Roman" w:hAnsi="Times New Roman" w:cs="Times New Roman"/>
              </w:rPr>
              <w:t>• Medical Scribe – core functionality for automated clinical documentation during patient visits</w:t>
            </w:r>
          </w:p>
          <w:p w14:paraId="305AA878" w14:textId="77777777" w:rsidR="00F34C14" w:rsidRPr="002D4E7A" w:rsidRDefault="00F34C14" w:rsidP="002D4E7A">
            <w:pPr>
              <w:pStyle w:val="p1"/>
              <w:spacing w:before="0" w:beforeAutospacing="0" w:after="0" w:afterAutospacing="0"/>
              <w:ind w:left="32"/>
              <w:rPr>
                <w:rFonts w:ascii="Times New Roman" w:eastAsia="Times New Roman" w:hAnsi="Times New Roman" w:cs="Times New Roman"/>
              </w:rPr>
            </w:pPr>
            <w:r w:rsidRPr="002D4E7A">
              <w:rPr>
                <w:rFonts w:ascii="Times New Roman" w:eastAsia="Times New Roman" w:hAnsi="Times New Roman" w:cs="Times New Roman"/>
              </w:rPr>
              <w:t>• Clinical Adviser – provides real-time advice and support during consultations</w:t>
            </w:r>
          </w:p>
          <w:p w14:paraId="20FDD545" w14:textId="77777777" w:rsidR="00F34C14" w:rsidRPr="002D4E7A" w:rsidRDefault="00F34C14" w:rsidP="002D4E7A">
            <w:pPr>
              <w:pStyle w:val="p1"/>
              <w:spacing w:before="0" w:beforeAutospacing="0" w:after="0" w:afterAutospacing="0"/>
              <w:ind w:left="32"/>
              <w:rPr>
                <w:rFonts w:ascii="Times New Roman" w:eastAsia="Times New Roman" w:hAnsi="Times New Roman" w:cs="Times New Roman"/>
              </w:rPr>
            </w:pPr>
            <w:r w:rsidRPr="002D4E7A">
              <w:rPr>
                <w:rFonts w:ascii="Times New Roman" w:eastAsia="Times New Roman" w:hAnsi="Times New Roman" w:cs="Times New Roman"/>
              </w:rPr>
              <w:t>• Coding Assistant – assists in setting diagnoses and procedure codes</w:t>
            </w:r>
          </w:p>
          <w:p w14:paraId="44EB6B18" w14:textId="77777777" w:rsidR="00F34C14" w:rsidRPr="002D4E7A" w:rsidRDefault="00F34C14" w:rsidP="002D4E7A">
            <w:pPr>
              <w:pStyle w:val="p1"/>
              <w:spacing w:before="0" w:beforeAutospacing="0" w:after="0" w:afterAutospacing="0"/>
              <w:ind w:left="32"/>
              <w:rPr>
                <w:rFonts w:ascii="Times New Roman" w:eastAsia="Times New Roman" w:hAnsi="Times New Roman" w:cs="Times New Roman"/>
              </w:rPr>
            </w:pPr>
            <w:r w:rsidRPr="002D4E7A">
              <w:rPr>
                <w:rFonts w:ascii="Times New Roman" w:eastAsia="Times New Roman" w:hAnsi="Times New Roman" w:cs="Times New Roman"/>
              </w:rPr>
              <w:t>• Secretary Task Manager – manages administrative and post-visit tasks</w:t>
            </w:r>
          </w:p>
          <w:p w14:paraId="167845F2" w14:textId="77777777" w:rsidR="00F34C14" w:rsidRPr="002D4E7A" w:rsidRDefault="00F34C14" w:rsidP="002D4E7A">
            <w:pPr>
              <w:pStyle w:val="p1"/>
              <w:spacing w:before="0" w:beforeAutospacing="0" w:after="0" w:afterAutospacing="0"/>
              <w:ind w:left="32"/>
              <w:rPr>
                <w:rFonts w:ascii="Times New Roman" w:eastAsia="Times New Roman" w:hAnsi="Times New Roman" w:cs="Times New Roman"/>
              </w:rPr>
            </w:pPr>
            <w:r w:rsidRPr="002D4E7A">
              <w:rPr>
                <w:rFonts w:ascii="Times New Roman" w:eastAsia="Times New Roman" w:hAnsi="Times New Roman" w:cs="Times New Roman"/>
              </w:rPr>
              <w:t>• Task Management – handles all follow-up tasks after the visit</w:t>
            </w:r>
          </w:p>
          <w:p w14:paraId="1F2020AB" w14:textId="77777777" w:rsidR="003E4638" w:rsidRPr="00D0294B" w:rsidRDefault="00F34C14" w:rsidP="002D4E7A">
            <w:pPr>
              <w:pStyle w:val="p1"/>
              <w:tabs>
                <w:tab w:val="num" w:pos="1112"/>
              </w:tabs>
              <w:spacing w:before="0" w:beforeAutospacing="0" w:after="0" w:afterAutospacing="0"/>
              <w:ind w:left="32"/>
              <w:rPr>
                <w:rFonts w:ascii="Times New Roman" w:eastAsia="Times New Roman" w:hAnsi="Times New Roman" w:cs="Times New Roman"/>
                <w:color w:val="000000"/>
              </w:rPr>
            </w:pPr>
            <w:r w:rsidRPr="002D4E7A">
              <w:rPr>
                <w:rFonts w:ascii="Times New Roman" w:eastAsia="Times New Roman" w:hAnsi="Times New Roman" w:cs="Times New Roman"/>
              </w:rPr>
              <w:t>• Data Explorer – enables exploration and analysis of data from all parts of the system</w:t>
            </w:r>
          </w:p>
        </w:tc>
        <w:tc>
          <w:tcPr>
            <w:tcW w:w="2410" w:type="dxa"/>
          </w:tcPr>
          <w:p w14:paraId="2E920C1A" w14:textId="77777777" w:rsidR="00F34C14" w:rsidRPr="002D4E7A" w:rsidRDefault="00F34C14" w:rsidP="00F34C14">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Sprendimas turi apimti šiuos modulius:</w:t>
            </w:r>
          </w:p>
          <w:p w14:paraId="33E6FBF7" w14:textId="77777777" w:rsidR="00F34C14" w:rsidRPr="002D4E7A" w:rsidRDefault="00F34C14" w:rsidP="00F34C14">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Medicininis raštininkas – pagrindinė funkcija, automatiškai fiksuojanti klinikinę informaciją vizito metu</w:t>
            </w:r>
          </w:p>
          <w:p w14:paraId="3F5D0740" w14:textId="77777777" w:rsidR="00F34C14" w:rsidRPr="002D4E7A" w:rsidRDefault="00F34C14" w:rsidP="00F34C14">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Klinikinis patarėjas– teikia realaus laiko patarimus ir pagalbą konsultacijos metu</w:t>
            </w:r>
          </w:p>
          <w:p w14:paraId="6EEBF7E4" w14:textId="77777777" w:rsidR="00F34C14" w:rsidRPr="002D4E7A" w:rsidRDefault="00F34C14" w:rsidP="00F34C14">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Kodavimo asistentas – padeda priskirti diagnozes ir procedūrų kodus</w:t>
            </w:r>
          </w:p>
          <w:p w14:paraId="6D91D744" w14:textId="77777777" w:rsidR="00F34C14" w:rsidRPr="002D4E7A" w:rsidRDefault="00F34C14" w:rsidP="00F34C14">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Sekretoriaus užduočių valdymas– tvarko administracines ir po vizito atliekamas užduotis</w:t>
            </w:r>
          </w:p>
          <w:p w14:paraId="0EFC4C35" w14:textId="77777777" w:rsidR="00F34C14" w:rsidRPr="002D4E7A" w:rsidRDefault="00F34C14" w:rsidP="00F34C14">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Užduočių valdymas– koordinuoja visas su vizitu susijusias tęstines užduotis</w:t>
            </w:r>
          </w:p>
          <w:p w14:paraId="00045484" w14:textId="77777777" w:rsidR="003E4638" w:rsidRPr="002D4E7A" w:rsidRDefault="002D4E7A" w:rsidP="002D4E7A">
            <w:pPr>
              <w:pBdr>
                <w:top w:val="nil"/>
                <w:left w:val="nil"/>
                <w:bottom w:val="nil"/>
                <w:right w:val="nil"/>
                <w:between w:val="nil"/>
              </w:pBdr>
              <w:spacing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xml:space="preserve">• </w:t>
            </w:r>
            <w:r w:rsidR="00F34C14" w:rsidRPr="002D4E7A">
              <w:rPr>
                <w:rFonts w:ascii="Times New Roman" w:eastAsia="Times New Roman" w:hAnsi="Times New Roman" w:cs="Times New Roman"/>
                <w:color w:val="000000"/>
              </w:rPr>
              <w:t>Duomenų naršyklė  – leidžia analizuoti ir nagrinėti duomenis iš visų sistemos dalių</w:t>
            </w:r>
          </w:p>
        </w:tc>
        <w:tc>
          <w:tcPr>
            <w:tcW w:w="3685" w:type="dxa"/>
          </w:tcPr>
          <w:p w14:paraId="412AF577" w14:textId="77777777"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3E4638" w:rsidRPr="002D4E7A" w14:paraId="2D2928B6" w14:textId="77777777" w:rsidTr="00EA3C97">
        <w:trPr>
          <w:trHeight w:val="600"/>
        </w:trPr>
        <w:tc>
          <w:tcPr>
            <w:tcW w:w="1237" w:type="dxa"/>
          </w:tcPr>
          <w:p w14:paraId="2DA85AA5" w14:textId="77777777" w:rsidR="003E4638" w:rsidRPr="00D0294B" w:rsidRDefault="003E4638">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2EAA45DB" w14:textId="77777777" w:rsidR="003E4638" w:rsidRPr="00D0294B" w:rsidRDefault="00195850" w:rsidP="00195850">
            <w:pPr>
              <w:pStyle w:val="p1"/>
              <w:spacing w:before="0" w:beforeAutospacing="0" w:after="0" w:afterAutospacing="0"/>
              <w:rPr>
                <w:rFonts w:ascii="Times New Roman" w:eastAsia="Times New Roman" w:hAnsi="Times New Roman" w:cs="Times New Roman"/>
                <w:color w:val="000000"/>
              </w:rPr>
            </w:pPr>
            <w:r w:rsidRPr="002D4E7A">
              <w:rPr>
                <w:rFonts w:ascii="Times New Roman" w:eastAsia="Times New Roman" w:hAnsi="Times New Roman" w:cs="Times New Roman"/>
              </w:rPr>
              <w:t>The system must allow downstream creation of multiple document types (referral letters, sick notes, discharge summaries).</w:t>
            </w:r>
          </w:p>
        </w:tc>
        <w:tc>
          <w:tcPr>
            <w:tcW w:w="2410" w:type="dxa"/>
          </w:tcPr>
          <w:p w14:paraId="5546BB33" w14:textId="77777777" w:rsidR="003E4638" w:rsidRPr="002D4E7A" w:rsidRDefault="00195850">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xml:space="preserve">Sistema turi leisti sukurti įvairius dokumentų tipus (siuntimai, nedarbingumo pažymėjimai, </w:t>
            </w:r>
            <w:r w:rsidR="00F34C14" w:rsidRPr="002D4E7A">
              <w:rPr>
                <w:rFonts w:ascii="Times New Roman" w:eastAsia="Times New Roman" w:hAnsi="Times New Roman" w:cs="Times New Roman"/>
                <w:color w:val="000000"/>
              </w:rPr>
              <w:t xml:space="preserve">epikrizės </w:t>
            </w:r>
            <w:r w:rsidRPr="002D4E7A">
              <w:rPr>
                <w:rFonts w:ascii="Times New Roman" w:eastAsia="Times New Roman" w:hAnsi="Times New Roman" w:cs="Times New Roman"/>
                <w:color w:val="000000"/>
              </w:rPr>
              <w:t>ir kt.).</w:t>
            </w:r>
          </w:p>
        </w:tc>
        <w:tc>
          <w:tcPr>
            <w:tcW w:w="3685" w:type="dxa"/>
          </w:tcPr>
          <w:p w14:paraId="158868CC" w14:textId="77777777" w:rsidR="003E4638" w:rsidRPr="002D4E7A" w:rsidRDefault="003E4638">
            <w:pPr>
              <w:pBdr>
                <w:top w:val="nil"/>
                <w:left w:val="nil"/>
                <w:bottom w:val="nil"/>
                <w:right w:val="nil"/>
                <w:between w:val="nil"/>
              </w:pBdr>
              <w:spacing w:after="160" w:line="259" w:lineRule="auto"/>
              <w:rPr>
                <w:rFonts w:ascii="Times New Roman" w:eastAsia="Times New Roman" w:hAnsi="Times New Roman" w:cs="Times New Roman"/>
                <w:color w:val="000000"/>
              </w:rPr>
            </w:pPr>
          </w:p>
        </w:tc>
      </w:tr>
      <w:tr w:rsidR="00093F05" w:rsidRPr="002D4E7A" w14:paraId="04E64D02" w14:textId="77777777" w:rsidTr="00EA3C97">
        <w:trPr>
          <w:trHeight w:val="600"/>
        </w:trPr>
        <w:tc>
          <w:tcPr>
            <w:tcW w:w="1237" w:type="dxa"/>
          </w:tcPr>
          <w:p w14:paraId="1F0B965A" w14:textId="77777777" w:rsidR="00093F05" w:rsidRPr="00D0294B" w:rsidRDefault="00093F05">
            <w:pPr>
              <w:numPr>
                <w:ilvl w:val="2"/>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2410" w:type="dxa"/>
          </w:tcPr>
          <w:p w14:paraId="1A93B212" w14:textId="77777777" w:rsidR="00093F05" w:rsidRPr="002D4E7A" w:rsidRDefault="00093F05" w:rsidP="00195850">
            <w:pPr>
              <w:pStyle w:val="p1"/>
              <w:spacing w:before="0" w:beforeAutospacing="0" w:after="0" w:afterAutospacing="0"/>
              <w:rPr>
                <w:rFonts w:ascii="Times New Roman" w:eastAsia="Times New Roman" w:hAnsi="Times New Roman" w:cs="Times New Roman"/>
              </w:rPr>
            </w:pPr>
            <w:r w:rsidRPr="002D4E7A">
              <w:rPr>
                <w:rFonts w:ascii="Times New Roman" w:eastAsia="Times New Roman" w:hAnsi="Times New Roman" w:cs="Times New Roman"/>
              </w:rPr>
              <w:t>Supplier must provide an administration portal for Customer to add/remove users and export usage data and etc.</w:t>
            </w:r>
          </w:p>
        </w:tc>
        <w:tc>
          <w:tcPr>
            <w:tcW w:w="2410" w:type="dxa"/>
          </w:tcPr>
          <w:p w14:paraId="2F2318EF" w14:textId="77777777" w:rsidR="00093F05" w:rsidRPr="002D4E7A" w:rsidRDefault="00093F05">
            <w:pPr>
              <w:pBdr>
                <w:top w:val="nil"/>
                <w:left w:val="nil"/>
                <w:bottom w:val="nil"/>
                <w:right w:val="nil"/>
                <w:between w:val="nil"/>
              </w:pBdr>
              <w:spacing w:after="160" w:line="259" w:lineRule="auto"/>
              <w:rPr>
                <w:rFonts w:ascii="Times New Roman" w:eastAsia="Times New Roman" w:hAnsi="Times New Roman" w:cs="Times New Roman"/>
                <w:color w:val="000000"/>
                <w:highlight w:val="yellow"/>
              </w:rPr>
            </w:pPr>
            <w:r w:rsidRPr="00D0294B">
              <w:rPr>
                <w:rFonts w:ascii="Times New Roman" w:eastAsia="Times New Roman" w:hAnsi="Times New Roman" w:cs="Times New Roman"/>
                <w:color w:val="000000"/>
              </w:rPr>
              <w:t>Tiekėjas</w:t>
            </w:r>
            <w:r w:rsidR="00030850" w:rsidRPr="00D0294B">
              <w:rPr>
                <w:rFonts w:ascii="Times New Roman" w:eastAsia="Times New Roman" w:hAnsi="Times New Roman" w:cs="Times New Roman"/>
                <w:color w:val="000000"/>
              </w:rPr>
              <w:t xml:space="preserve"> </w:t>
            </w:r>
            <w:r w:rsidRPr="005B028E">
              <w:rPr>
                <w:rFonts w:ascii="Times New Roman" w:eastAsia="Times New Roman" w:hAnsi="Times New Roman" w:cs="Times New Roman"/>
                <w:color w:val="000000"/>
              </w:rPr>
              <w:t xml:space="preserve">privalo </w:t>
            </w:r>
            <w:r w:rsidR="00030850" w:rsidRPr="005B028E">
              <w:rPr>
                <w:rFonts w:ascii="Times New Roman" w:eastAsia="Times New Roman" w:hAnsi="Times New Roman" w:cs="Times New Roman"/>
                <w:color w:val="000000"/>
              </w:rPr>
              <w:t>pa</w:t>
            </w:r>
            <w:r w:rsidRPr="005B028E">
              <w:rPr>
                <w:rFonts w:ascii="Times New Roman" w:eastAsia="Times New Roman" w:hAnsi="Times New Roman" w:cs="Times New Roman"/>
                <w:color w:val="000000"/>
              </w:rPr>
              <w:t>teikti administravimo portalą vartotojų pridėjimui/pašalinimui</w:t>
            </w:r>
            <w:r w:rsidRPr="002D4E7A">
              <w:rPr>
                <w:rFonts w:ascii="Times New Roman" w:eastAsia="Times New Roman" w:hAnsi="Times New Roman" w:cs="Times New Roman"/>
                <w:color w:val="000000"/>
              </w:rPr>
              <w:t>, duomenų eksportui ir kitoms būtinoms funkcijo</w:t>
            </w:r>
            <w:r w:rsidR="00030850" w:rsidRPr="002D4E7A">
              <w:rPr>
                <w:rFonts w:ascii="Times New Roman" w:eastAsia="Times New Roman" w:hAnsi="Times New Roman" w:cs="Times New Roman"/>
                <w:color w:val="000000"/>
              </w:rPr>
              <w:t>m</w:t>
            </w:r>
            <w:r w:rsidRPr="002D4E7A">
              <w:rPr>
                <w:rFonts w:ascii="Times New Roman" w:eastAsia="Times New Roman" w:hAnsi="Times New Roman" w:cs="Times New Roman"/>
                <w:color w:val="000000"/>
              </w:rPr>
              <w:t>s valdyti</w:t>
            </w:r>
          </w:p>
        </w:tc>
        <w:tc>
          <w:tcPr>
            <w:tcW w:w="3685" w:type="dxa"/>
          </w:tcPr>
          <w:p w14:paraId="70804BBC" w14:textId="77777777" w:rsidR="00093F05" w:rsidRPr="002D4E7A" w:rsidRDefault="00093F05">
            <w:pPr>
              <w:pBdr>
                <w:top w:val="nil"/>
                <w:left w:val="nil"/>
                <w:bottom w:val="nil"/>
                <w:right w:val="nil"/>
                <w:between w:val="nil"/>
              </w:pBdr>
              <w:spacing w:after="160" w:line="259" w:lineRule="auto"/>
              <w:rPr>
                <w:rFonts w:ascii="Times New Roman" w:eastAsia="Times New Roman" w:hAnsi="Times New Roman" w:cs="Times New Roman"/>
                <w:color w:val="000000"/>
              </w:rPr>
            </w:pPr>
          </w:p>
        </w:tc>
      </w:tr>
    </w:tbl>
    <w:p w14:paraId="1224F3D0" w14:textId="77777777" w:rsidR="008E25CA" w:rsidRDefault="008E25CA">
      <w:pPr>
        <w:pBdr>
          <w:top w:val="nil"/>
          <w:left w:val="nil"/>
          <w:bottom w:val="nil"/>
          <w:right w:val="nil"/>
          <w:between w:val="nil"/>
        </w:pBdr>
        <w:jc w:val="both"/>
        <w:rPr>
          <w:rFonts w:ascii="Times New Roman" w:eastAsia="Times New Roman" w:hAnsi="Times New Roman" w:cs="Times New Roman"/>
          <w:b/>
          <w:color w:val="000000"/>
        </w:rPr>
      </w:pPr>
    </w:p>
    <w:p w14:paraId="2EAA1AE0" w14:textId="77777777" w:rsidR="008E25CA" w:rsidRDefault="008E25CA">
      <w:pPr>
        <w:pBdr>
          <w:top w:val="nil"/>
          <w:left w:val="nil"/>
          <w:bottom w:val="nil"/>
          <w:right w:val="nil"/>
          <w:between w:val="nil"/>
        </w:pBdr>
        <w:jc w:val="both"/>
        <w:rPr>
          <w:rFonts w:ascii="Times New Roman" w:eastAsia="Times New Roman" w:hAnsi="Times New Roman" w:cs="Times New Roman"/>
          <w:b/>
          <w:color w:val="000000"/>
        </w:rPr>
      </w:pPr>
    </w:p>
    <w:p w14:paraId="4ED5D293" w14:textId="77777777" w:rsidR="002522D6" w:rsidRPr="002D4E7A" w:rsidRDefault="00FF01E9">
      <w:pPr>
        <w:pBdr>
          <w:top w:val="nil"/>
          <w:left w:val="nil"/>
          <w:bottom w:val="nil"/>
          <w:right w:val="nil"/>
          <w:between w:val="nil"/>
        </w:pBdr>
        <w:jc w:val="both"/>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Support requirements/ Techninio palaikymo reikalavimai</w:t>
      </w:r>
    </w:p>
    <w:p w14:paraId="7BFC2B03" w14:textId="77777777" w:rsidR="001B560B" w:rsidRPr="002D4E7A" w:rsidRDefault="001B560B" w:rsidP="001B560B">
      <w:pPr>
        <w:pBdr>
          <w:top w:val="nil"/>
          <w:left w:val="nil"/>
          <w:bottom w:val="nil"/>
          <w:right w:val="nil"/>
          <w:between w:val="nil"/>
        </w:pBdr>
        <w:spacing w:before="280" w:after="280"/>
        <w:jc w:val="right"/>
        <w:rPr>
          <w:rFonts w:ascii="Times New Roman" w:eastAsia="Times New Roman" w:hAnsi="Times New Roman" w:cs="Times New Roman"/>
          <w:color w:val="000000"/>
        </w:rPr>
      </w:pPr>
      <w:r w:rsidRPr="002D4E7A">
        <w:rPr>
          <w:rFonts w:ascii="Times New Roman" w:eastAsia="Times New Roman" w:hAnsi="Times New Roman" w:cs="Times New Roman"/>
          <w:color w:val="000000"/>
        </w:rPr>
        <w:t xml:space="preserve">Table No </w:t>
      </w:r>
      <w:r w:rsidR="00030850" w:rsidRPr="002D4E7A">
        <w:rPr>
          <w:rFonts w:ascii="Times New Roman" w:eastAsia="Times New Roman" w:hAnsi="Times New Roman" w:cs="Times New Roman"/>
          <w:color w:val="000000"/>
        </w:rPr>
        <w:t>2</w:t>
      </w:r>
      <w:r w:rsidRPr="002D4E7A">
        <w:rPr>
          <w:rFonts w:ascii="Times New Roman" w:eastAsia="Times New Roman" w:hAnsi="Times New Roman" w:cs="Times New Roman"/>
          <w:color w:val="000000"/>
        </w:rPr>
        <w:t xml:space="preserve">/Lentelė Nr </w:t>
      </w:r>
      <w:r w:rsidR="00030850" w:rsidRPr="002D4E7A">
        <w:rPr>
          <w:rFonts w:ascii="Times New Roman" w:eastAsia="Times New Roman" w:hAnsi="Times New Roman" w:cs="Times New Roman"/>
          <w:color w:val="000000"/>
        </w:rPr>
        <w:t>2</w:t>
      </w:r>
    </w:p>
    <w:tbl>
      <w:tblPr>
        <w:tblStyle w:val="a6"/>
        <w:tblW w:w="9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253"/>
        <w:gridCol w:w="4110"/>
      </w:tblGrid>
      <w:tr w:rsidR="002522D6" w:rsidRPr="002D4E7A" w14:paraId="7FBD7218" w14:textId="77777777" w:rsidTr="001B560B">
        <w:trPr>
          <w:trHeight w:val="153"/>
        </w:trPr>
        <w:tc>
          <w:tcPr>
            <w:tcW w:w="1555" w:type="dxa"/>
            <w:shd w:val="clear" w:color="auto" w:fill="D9E2F3" w:themeFill="accent1" w:themeFillTint="33"/>
          </w:tcPr>
          <w:p w14:paraId="140B1B96" w14:textId="77777777" w:rsidR="002522D6" w:rsidRPr="002D4E7A" w:rsidRDefault="002522D6">
            <w:p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shd w:val="clear" w:color="auto" w:fill="D9E2F3" w:themeFill="accent1" w:themeFillTint="33"/>
          </w:tcPr>
          <w:p w14:paraId="092E08F6" w14:textId="77777777" w:rsidR="002522D6" w:rsidRPr="002D4E7A" w:rsidRDefault="00FF01E9"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Warranty and support</w:t>
            </w:r>
          </w:p>
        </w:tc>
        <w:tc>
          <w:tcPr>
            <w:tcW w:w="4110" w:type="dxa"/>
            <w:shd w:val="clear" w:color="auto" w:fill="D9E2F3" w:themeFill="accent1" w:themeFillTint="33"/>
          </w:tcPr>
          <w:p w14:paraId="461A7313" w14:textId="77777777" w:rsidR="002522D6" w:rsidRPr="002D4E7A" w:rsidRDefault="00FF01E9" w:rsidP="001B560B">
            <w:pPr>
              <w:pBdr>
                <w:top w:val="nil"/>
                <w:left w:val="nil"/>
                <w:bottom w:val="nil"/>
                <w:right w:val="nil"/>
                <w:between w:val="nil"/>
              </w:pBdr>
              <w:spacing w:after="160" w:line="259" w:lineRule="auto"/>
              <w:jc w:val="center"/>
              <w:rPr>
                <w:rFonts w:ascii="Times New Roman" w:eastAsia="Times New Roman" w:hAnsi="Times New Roman" w:cs="Times New Roman"/>
                <w:b/>
                <w:color w:val="000000"/>
              </w:rPr>
            </w:pPr>
            <w:r w:rsidRPr="002D4E7A">
              <w:rPr>
                <w:rFonts w:ascii="Times New Roman" w:eastAsia="Times New Roman" w:hAnsi="Times New Roman" w:cs="Times New Roman"/>
                <w:b/>
                <w:color w:val="000000"/>
              </w:rPr>
              <w:t>Garantija ir palaikymas</w:t>
            </w:r>
          </w:p>
        </w:tc>
      </w:tr>
      <w:tr w:rsidR="002522D6" w:rsidRPr="002D4E7A" w14:paraId="68AA552D" w14:textId="77777777">
        <w:trPr>
          <w:trHeight w:val="615"/>
        </w:trPr>
        <w:tc>
          <w:tcPr>
            <w:tcW w:w="1555" w:type="dxa"/>
          </w:tcPr>
          <w:p w14:paraId="21CF0CE4" w14:textId="77777777" w:rsidR="002522D6" w:rsidRPr="00D0294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1F2E3835"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Warranty and support start after the first hospital department begins using the prescription system on production base.</w:t>
            </w:r>
          </w:p>
        </w:tc>
        <w:tc>
          <w:tcPr>
            <w:tcW w:w="4110" w:type="dxa"/>
          </w:tcPr>
          <w:p w14:paraId="4B2F17A1"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Garantijos ir palaikymo laikotarpis prasideda nuo tada, kai pirmasis ligoninės padalinys pradeda naudoti receptų sistemą gamybinėje aplinkoje.</w:t>
            </w:r>
          </w:p>
        </w:tc>
      </w:tr>
      <w:tr w:rsidR="002522D6" w:rsidRPr="002D4E7A" w14:paraId="1C021DF6" w14:textId="77777777">
        <w:trPr>
          <w:trHeight w:val="315"/>
        </w:trPr>
        <w:tc>
          <w:tcPr>
            <w:tcW w:w="1555" w:type="dxa"/>
          </w:tcPr>
          <w:p w14:paraId="69928972" w14:textId="77777777" w:rsidR="002522D6" w:rsidRPr="00D0294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35AFBC0C"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 xml:space="preserve">Support must include ability to register incidents, issues, and get reaction and support based on 5x8 policy. </w:t>
            </w:r>
          </w:p>
          <w:p w14:paraId="31CDE5D6" w14:textId="77777777" w:rsidR="002522D6" w:rsidRPr="002D4E7A" w:rsidRDefault="002522D6">
            <w:pPr>
              <w:pBdr>
                <w:top w:val="nil"/>
                <w:left w:val="nil"/>
                <w:bottom w:val="nil"/>
                <w:right w:val="nil"/>
                <w:between w:val="nil"/>
              </w:pBdr>
              <w:spacing w:after="160" w:line="259" w:lineRule="auto"/>
              <w:rPr>
                <w:rFonts w:ascii="Times New Roman" w:eastAsia="Times New Roman" w:hAnsi="Times New Roman" w:cs="Times New Roman"/>
                <w:color w:val="000000"/>
              </w:rPr>
            </w:pPr>
          </w:p>
        </w:tc>
        <w:tc>
          <w:tcPr>
            <w:tcW w:w="4110" w:type="dxa"/>
          </w:tcPr>
          <w:p w14:paraId="42F7158A"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Palaikymas turi apimti galimybę registruoti incidentus, problemas ir gauti reakciją bei pagalbą pagal 5x8 politiką (penkias darbo dienas per savaitę, 8 val. per dieną).</w:t>
            </w:r>
          </w:p>
        </w:tc>
      </w:tr>
      <w:tr w:rsidR="002522D6" w:rsidRPr="002D4E7A" w14:paraId="01D845BF" w14:textId="77777777">
        <w:trPr>
          <w:trHeight w:val="315"/>
        </w:trPr>
        <w:tc>
          <w:tcPr>
            <w:tcW w:w="1555" w:type="dxa"/>
          </w:tcPr>
          <w:p w14:paraId="18441D24" w14:textId="77777777" w:rsidR="002522D6" w:rsidRPr="00D0294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081EBF74"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In support period new software versions, and all kind of fixes must be provided automatically.</w:t>
            </w:r>
          </w:p>
        </w:tc>
        <w:tc>
          <w:tcPr>
            <w:tcW w:w="4110" w:type="dxa"/>
          </w:tcPr>
          <w:p w14:paraId="1EA382A9"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Palaikymo laikotarpiu visos naujos programinės įrangos versijos ir bet kokio pobūdžio pataisos turi būti teikiamos automatiškai.</w:t>
            </w:r>
          </w:p>
        </w:tc>
      </w:tr>
      <w:tr w:rsidR="002522D6" w:rsidRPr="002D4E7A" w14:paraId="49A4250A" w14:textId="77777777">
        <w:trPr>
          <w:trHeight w:val="315"/>
        </w:trPr>
        <w:tc>
          <w:tcPr>
            <w:tcW w:w="1555" w:type="dxa"/>
          </w:tcPr>
          <w:p w14:paraId="60F85447" w14:textId="77777777" w:rsidR="002522D6" w:rsidRPr="00D0294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31C601DC"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System provider must have help desk information system, to register designated user’s requests.</w:t>
            </w:r>
          </w:p>
        </w:tc>
        <w:tc>
          <w:tcPr>
            <w:tcW w:w="4110" w:type="dxa"/>
          </w:tcPr>
          <w:p w14:paraId="14422C24"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Sistemos tiekėjas privalo turėti pagalbos tarnybos (Help Desk) informacinę sistemą, kurioje būtų registruojami įgaliotų naudotojų prašymai.</w:t>
            </w:r>
          </w:p>
        </w:tc>
      </w:tr>
      <w:tr w:rsidR="002522D6" w:rsidRPr="002D4E7A" w14:paraId="1E874DCF" w14:textId="77777777">
        <w:trPr>
          <w:trHeight w:val="315"/>
        </w:trPr>
        <w:tc>
          <w:tcPr>
            <w:tcW w:w="1555" w:type="dxa"/>
          </w:tcPr>
          <w:p w14:paraId="392DC0CF" w14:textId="77777777" w:rsidR="002522D6" w:rsidRPr="00D0294B" w:rsidRDefault="002522D6">
            <w:pPr>
              <w:numPr>
                <w:ilvl w:val="1"/>
                <w:numId w:val="2"/>
              </w:numPr>
              <w:pBdr>
                <w:top w:val="nil"/>
                <w:left w:val="nil"/>
                <w:bottom w:val="nil"/>
                <w:right w:val="nil"/>
                <w:between w:val="nil"/>
              </w:pBdr>
              <w:spacing w:after="160" w:line="259" w:lineRule="auto"/>
              <w:ind w:right="180"/>
              <w:rPr>
                <w:rFonts w:ascii="Times New Roman" w:eastAsia="Times New Roman" w:hAnsi="Times New Roman" w:cs="Times New Roman"/>
                <w:b/>
                <w:color w:val="000000"/>
              </w:rPr>
            </w:pPr>
          </w:p>
        </w:tc>
        <w:tc>
          <w:tcPr>
            <w:tcW w:w="4253" w:type="dxa"/>
          </w:tcPr>
          <w:p w14:paraId="2B4A8650"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At least 10 help desk user accounts must by created as the support period starts. Additionally, help desk email address must be provided.</w:t>
            </w:r>
          </w:p>
        </w:tc>
        <w:tc>
          <w:tcPr>
            <w:tcW w:w="4110" w:type="dxa"/>
          </w:tcPr>
          <w:p w14:paraId="650F7EFB" w14:textId="77777777" w:rsidR="002522D6" w:rsidRPr="002D4E7A" w:rsidRDefault="00FF01E9">
            <w:pPr>
              <w:pBdr>
                <w:top w:val="nil"/>
                <w:left w:val="nil"/>
                <w:bottom w:val="nil"/>
                <w:right w:val="nil"/>
                <w:between w:val="nil"/>
              </w:pBdr>
              <w:spacing w:after="160" w:line="259" w:lineRule="auto"/>
              <w:rPr>
                <w:rFonts w:ascii="Times New Roman" w:eastAsia="Times New Roman" w:hAnsi="Times New Roman" w:cs="Times New Roman"/>
                <w:color w:val="000000"/>
              </w:rPr>
            </w:pPr>
            <w:r w:rsidRPr="002D4E7A">
              <w:rPr>
                <w:rFonts w:ascii="Times New Roman" w:eastAsia="Times New Roman" w:hAnsi="Times New Roman" w:cs="Times New Roman"/>
                <w:color w:val="000000"/>
              </w:rPr>
              <w:t>Prasidėjus palaikymo laikotarpiui, turi būti sukurta ne mažiau kaip 10 pagalbos tarnybos naudotojų paskyrų. Taip pat turi būti pateiktas pagalbos tarnybos el. pašto adresas.</w:t>
            </w:r>
          </w:p>
        </w:tc>
      </w:tr>
    </w:tbl>
    <w:p w14:paraId="47C0C3E2" w14:textId="77777777" w:rsidR="002522D6" w:rsidRPr="00D0294B" w:rsidRDefault="002522D6">
      <w:pPr>
        <w:pBdr>
          <w:top w:val="nil"/>
          <w:left w:val="nil"/>
          <w:bottom w:val="nil"/>
          <w:right w:val="nil"/>
          <w:between w:val="nil"/>
        </w:pBdr>
        <w:jc w:val="both"/>
        <w:rPr>
          <w:rFonts w:ascii="Times New Roman" w:eastAsia="Times New Roman" w:hAnsi="Times New Roman" w:cs="Times New Roman"/>
          <w:color w:val="000000"/>
        </w:rPr>
      </w:pPr>
    </w:p>
    <w:sectPr w:rsidR="002522D6" w:rsidRPr="00D0294B">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98CF9" w14:textId="77777777" w:rsidR="00EC1329" w:rsidRDefault="00EC1329" w:rsidP="004C42AE">
      <w:r>
        <w:separator/>
      </w:r>
    </w:p>
  </w:endnote>
  <w:endnote w:type="continuationSeparator" w:id="0">
    <w:p w14:paraId="58C2277D" w14:textId="77777777" w:rsidR="00EC1329" w:rsidRDefault="00EC1329" w:rsidP="004C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A8A01" w14:textId="77777777" w:rsidR="00EC1329" w:rsidRDefault="00EC1329" w:rsidP="004C42AE">
      <w:r>
        <w:separator/>
      </w:r>
    </w:p>
  </w:footnote>
  <w:footnote w:type="continuationSeparator" w:id="0">
    <w:p w14:paraId="529D4CD6" w14:textId="77777777" w:rsidR="00EC1329" w:rsidRDefault="00EC1329" w:rsidP="004C4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42BF"/>
    <w:multiLevelType w:val="multilevel"/>
    <w:tmpl w:val="A79A7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66DE4"/>
    <w:multiLevelType w:val="multilevel"/>
    <w:tmpl w:val="3DDEE62C"/>
    <w:lvl w:ilvl="0">
      <w:start w:val="1"/>
      <w:numFmt w:val="bullet"/>
      <w:lvlText w:val=""/>
      <w:lvlJc w:val="left"/>
      <w:pPr>
        <w:tabs>
          <w:tab w:val="num" w:pos="392"/>
        </w:tabs>
        <w:ind w:left="392" w:hanging="360"/>
      </w:pPr>
      <w:rPr>
        <w:rFonts w:ascii="Symbol" w:hAnsi="Symbol" w:hint="default"/>
        <w:sz w:val="20"/>
      </w:rPr>
    </w:lvl>
    <w:lvl w:ilvl="1">
      <w:start w:val="1"/>
      <w:numFmt w:val="bullet"/>
      <w:lvlText w:val="o"/>
      <w:lvlJc w:val="left"/>
      <w:pPr>
        <w:tabs>
          <w:tab w:val="num" w:pos="1112"/>
        </w:tabs>
        <w:ind w:left="1112" w:hanging="360"/>
      </w:pPr>
      <w:rPr>
        <w:rFonts w:ascii="Courier New" w:hAnsi="Courier New" w:cs="Times New Roman" w:hint="default"/>
        <w:sz w:val="20"/>
      </w:rPr>
    </w:lvl>
    <w:lvl w:ilvl="2">
      <w:start w:val="1"/>
      <w:numFmt w:val="bullet"/>
      <w:lvlText w:val=""/>
      <w:lvlJc w:val="left"/>
      <w:pPr>
        <w:tabs>
          <w:tab w:val="num" w:pos="1832"/>
        </w:tabs>
        <w:ind w:left="1832" w:hanging="360"/>
      </w:pPr>
      <w:rPr>
        <w:rFonts w:ascii="Symbol" w:hAnsi="Symbol" w:hint="default"/>
        <w:sz w:val="20"/>
      </w:rPr>
    </w:lvl>
    <w:lvl w:ilvl="3">
      <w:start w:val="1"/>
      <w:numFmt w:val="bullet"/>
      <w:lvlText w:val=""/>
      <w:lvlJc w:val="left"/>
      <w:pPr>
        <w:tabs>
          <w:tab w:val="num" w:pos="2552"/>
        </w:tabs>
        <w:ind w:left="2552" w:hanging="360"/>
      </w:pPr>
      <w:rPr>
        <w:rFonts w:ascii="Symbol" w:hAnsi="Symbol" w:hint="default"/>
        <w:sz w:val="20"/>
      </w:rPr>
    </w:lvl>
    <w:lvl w:ilvl="4">
      <w:start w:val="1"/>
      <w:numFmt w:val="bullet"/>
      <w:lvlText w:val=""/>
      <w:lvlJc w:val="left"/>
      <w:pPr>
        <w:tabs>
          <w:tab w:val="num" w:pos="3272"/>
        </w:tabs>
        <w:ind w:left="3272" w:hanging="360"/>
      </w:pPr>
      <w:rPr>
        <w:rFonts w:ascii="Symbol" w:hAnsi="Symbol" w:hint="default"/>
        <w:sz w:val="20"/>
      </w:rPr>
    </w:lvl>
    <w:lvl w:ilvl="5">
      <w:start w:val="1"/>
      <w:numFmt w:val="bullet"/>
      <w:lvlText w:val=""/>
      <w:lvlJc w:val="left"/>
      <w:pPr>
        <w:tabs>
          <w:tab w:val="num" w:pos="3992"/>
        </w:tabs>
        <w:ind w:left="3992" w:hanging="360"/>
      </w:pPr>
      <w:rPr>
        <w:rFonts w:ascii="Symbol" w:hAnsi="Symbol" w:hint="default"/>
        <w:sz w:val="20"/>
      </w:rPr>
    </w:lvl>
    <w:lvl w:ilvl="6">
      <w:start w:val="1"/>
      <w:numFmt w:val="bullet"/>
      <w:lvlText w:val=""/>
      <w:lvlJc w:val="left"/>
      <w:pPr>
        <w:tabs>
          <w:tab w:val="num" w:pos="4712"/>
        </w:tabs>
        <w:ind w:left="4712" w:hanging="360"/>
      </w:pPr>
      <w:rPr>
        <w:rFonts w:ascii="Symbol" w:hAnsi="Symbol" w:hint="default"/>
        <w:sz w:val="20"/>
      </w:rPr>
    </w:lvl>
    <w:lvl w:ilvl="7">
      <w:start w:val="1"/>
      <w:numFmt w:val="bullet"/>
      <w:lvlText w:val=""/>
      <w:lvlJc w:val="left"/>
      <w:pPr>
        <w:tabs>
          <w:tab w:val="num" w:pos="5432"/>
        </w:tabs>
        <w:ind w:left="5432" w:hanging="360"/>
      </w:pPr>
      <w:rPr>
        <w:rFonts w:ascii="Symbol" w:hAnsi="Symbol" w:hint="default"/>
        <w:sz w:val="20"/>
      </w:rPr>
    </w:lvl>
    <w:lvl w:ilvl="8">
      <w:start w:val="1"/>
      <w:numFmt w:val="bullet"/>
      <w:lvlText w:val=""/>
      <w:lvlJc w:val="left"/>
      <w:pPr>
        <w:tabs>
          <w:tab w:val="num" w:pos="6152"/>
        </w:tabs>
        <w:ind w:left="6152" w:hanging="360"/>
      </w:pPr>
      <w:rPr>
        <w:rFonts w:ascii="Symbol" w:hAnsi="Symbol" w:hint="default"/>
        <w:sz w:val="20"/>
      </w:rPr>
    </w:lvl>
  </w:abstractNum>
  <w:abstractNum w:abstractNumId="2" w15:restartNumberingAfterBreak="0">
    <w:nsid w:val="201214AA"/>
    <w:multiLevelType w:val="multilevel"/>
    <w:tmpl w:val="FF7E49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2A4CD7"/>
    <w:multiLevelType w:val="hybridMultilevel"/>
    <w:tmpl w:val="504A7D74"/>
    <w:lvl w:ilvl="0" w:tplc="04270001">
      <w:start w:val="1"/>
      <w:numFmt w:val="bullet"/>
      <w:lvlText w:val=""/>
      <w:lvlJc w:val="left"/>
      <w:pPr>
        <w:ind w:left="685" w:hanging="360"/>
      </w:pPr>
      <w:rPr>
        <w:rFonts w:ascii="Symbol" w:hAnsi="Symbol" w:hint="default"/>
      </w:rPr>
    </w:lvl>
    <w:lvl w:ilvl="1" w:tplc="04270003" w:tentative="1">
      <w:start w:val="1"/>
      <w:numFmt w:val="bullet"/>
      <w:lvlText w:val="o"/>
      <w:lvlJc w:val="left"/>
      <w:pPr>
        <w:ind w:left="1405" w:hanging="360"/>
      </w:pPr>
      <w:rPr>
        <w:rFonts w:ascii="Courier New" w:hAnsi="Courier New" w:cs="Courier New" w:hint="default"/>
      </w:rPr>
    </w:lvl>
    <w:lvl w:ilvl="2" w:tplc="04270005" w:tentative="1">
      <w:start w:val="1"/>
      <w:numFmt w:val="bullet"/>
      <w:lvlText w:val=""/>
      <w:lvlJc w:val="left"/>
      <w:pPr>
        <w:ind w:left="2125" w:hanging="360"/>
      </w:pPr>
      <w:rPr>
        <w:rFonts w:ascii="Wingdings" w:hAnsi="Wingdings" w:hint="default"/>
      </w:rPr>
    </w:lvl>
    <w:lvl w:ilvl="3" w:tplc="04270001" w:tentative="1">
      <w:start w:val="1"/>
      <w:numFmt w:val="bullet"/>
      <w:lvlText w:val=""/>
      <w:lvlJc w:val="left"/>
      <w:pPr>
        <w:ind w:left="2845" w:hanging="360"/>
      </w:pPr>
      <w:rPr>
        <w:rFonts w:ascii="Symbol" w:hAnsi="Symbol" w:hint="default"/>
      </w:rPr>
    </w:lvl>
    <w:lvl w:ilvl="4" w:tplc="04270003" w:tentative="1">
      <w:start w:val="1"/>
      <w:numFmt w:val="bullet"/>
      <w:lvlText w:val="o"/>
      <w:lvlJc w:val="left"/>
      <w:pPr>
        <w:ind w:left="3565" w:hanging="360"/>
      </w:pPr>
      <w:rPr>
        <w:rFonts w:ascii="Courier New" w:hAnsi="Courier New" w:cs="Courier New" w:hint="default"/>
      </w:rPr>
    </w:lvl>
    <w:lvl w:ilvl="5" w:tplc="04270005" w:tentative="1">
      <w:start w:val="1"/>
      <w:numFmt w:val="bullet"/>
      <w:lvlText w:val=""/>
      <w:lvlJc w:val="left"/>
      <w:pPr>
        <w:ind w:left="4285" w:hanging="360"/>
      </w:pPr>
      <w:rPr>
        <w:rFonts w:ascii="Wingdings" w:hAnsi="Wingdings" w:hint="default"/>
      </w:rPr>
    </w:lvl>
    <w:lvl w:ilvl="6" w:tplc="04270001" w:tentative="1">
      <w:start w:val="1"/>
      <w:numFmt w:val="bullet"/>
      <w:lvlText w:val=""/>
      <w:lvlJc w:val="left"/>
      <w:pPr>
        <w:ind w:left="5005" w:hanging="360"/>
      </w:pPr>
      <w:rPr>
        <w:rFonts w:ascii="Symbol" w:hAnsi="Symbol" w:hint="default"/>
      </w:rPr>
    </w:lvl>
    <w:lvl w:ilvl="7" w:tplc="04270003" w:tentative="1">
      <w:start w:val="1"/>
      <w:numFmt w:val="bullet"/>
      <w:lvlText w:val="o"/>
      <w:lvlJc w:val="left"/>
      <w:pPr>
        <w:ind w:left="5725" w:hanging="360"/>
      </w:pPr>
      <w:rPr>
        <w:rFonts w:ascii="Courier New" w:hAnsi="Courier New" w:cs="Courier New" w:hint="default"/>
      </w:rPr>
    </w:lvl>
    <w:lvl w:ilvl="8" w:tplc="04270005" w:tentative="1">
      <w:start w:val="1"/>
      <w:numFmt w:val="bullet"/>
      <w:lvlText w:val=""/>
      <w:lvlJc w:val="left"/>
      <w:pPr>
        <w:ind w:left="6445" w:hanging="360"/>
      </w:pPr>
      <w:rPr>
        <w:rFonts w:ascii="Wingdings" w:hAnsi="Wingdings" w:hint="default"/>
      </w:rPr>
    </w:lvl>
  </w:abstractNum>
  <w:abstractNum w:abstractNumId="4" w15:restartNumberingAfterBreak="0">
    <w:nsid w:val="33B85A02"/>
    <w:multiLevelType w:val="hybridMultilevel"/>
    <w:tmpl w:val="ECBC9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E15445"/>
    <w:multiLevelType w:val="multilevel"/>
    <w:tmpl w:val="64A68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EC745C"/>
    <w:multiLevelType w:val="multilevel"/>
    <w:tmpl w:val="76C000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DE616F7"/>
    <w:multiLevelType w:val="multilevel"/>
    <w:tmpl w:val="7E8AE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F16CAE"/>
    <w:multiLevelType w:val="multilevel"/>
    <w:tmpl w:val="4AFE85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B8040C1"/>
    <w:multiLevelType w:val="multilevel"/>
    <w:tmpl w:val="EB8298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9"/>
  </w:num>
  <w:num w:numId="3">
    <w:abstractNumId w:val="8"/>
  </w:num>
  <w:num w:numId="4">
    <w:abstractNumId w:val="2"/>
  </w:num>
  <w:num w:numId="5">
    <w:abstractNumId w:val="0"/>
  </w:num>
  <w:num w:numId="6">
    <w:abstractNumId w:val="1"/>
  </w:num>
  <w:num w:numId="7">
    <w:abstractNumId w:val="4"/>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D6"/>
    <w:rsid w:val="00030850"/>
    <w:rsid w:val="00093F05"/>
    <w:rsid w:val="00176CDD"/>
    <w:rsid w:val="00195850"/>
    <w:rsid w:val="001A5880"/>
    <w:rsid w:val="001B560B"/>
    <w:rsid w:val="001D787E"/>
    <w:rsid w:val="002522D6"/>
    <w:rsid w:val="00275505"/>
    <w:rsid w:val="00296456"/>
    <w:rsid w:val="002B54C6"/>
    <w:rsid w:val="002D4E7A"/>
    <w:rsid w:val="0032204D"/>
    <w:rsid w:val="003E0F9C"/>
    <w:rsid w:val="003E4638"/>
    <w:rsid w:val="00485347"/>
    <w:rsid w:val="00492350"/>
    <w:rsid w:val="004C42AE"/>
    <w:rsid w:val="004C5E34"/>
    <w:rsid w:val="005B028E"/>
    <w:rsid w:val="00610244"/>
    <w:rsid w:val="00695026"/>
    <w:rsid w:val="006E1BEA"/>
    <w:rsid w:val="00714764"/>
    <w:rsid w:val="00732C74"/>
    <w:rsid w:val="00771A6F"/>
    <w:rsid w:val="00793FE8"/>
    <w:rsid w:val="008B5304"/>
    <w:rsid w:val="008E25CA"/>
    <w:rsid w:val="00902537"/>
    <w:rsid w:val="00932FB2"/>
    <w:rsid w:val="009D4662"/>
    <w:rsid w:val="009E5831"/>
    <w:rsid w:val="00A46179"/>
    <w:rsid w:val="00B517F0"/>
    <w:rsid w:val="00B64C18"/>
    <w:rsid w:val="00D0294B"/>
    <w:rsid w:val="00D0304A"/>
    <w:rsid w:val="00D80EF2"/>
    <w:rsid w:val="00DD119B"/>
    <w:rsid w:val="00E44C6A"/>
    <w:rsid w:val="00E853DF"/>
    <w:rsid w:val="00E91F6C"/>
    <w:rsid w:val="00EA3C97"/>
    <w:rsid w:val="00EC1329"/>
    <w:rsid w:val="00F30D92"/>
    <w:rsid w:val="00F34C14"/>
    <w:rsid w:val="00FF0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EC13A"/>
  <w15:docId w15:val="{06BC090B-2401-4E9A-ABBB-FF72BCA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2AE"/>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customStyle="1" w:styleId="Normal1">
    <w:name w:val="Normal1"/>
    <w:rsid w:val="004F4F19"/>
  </w:style>
  <w:style w:type="table" w:customStyle="1" w:styleId="TableNormal1">
    <w:name w:val="TableNormal"/>
    <w:rsid w:val="004F4F19"/>
    <w:tblPr>
      <w:tblCellMar>
        <w:top w:w="0" w:type="dxa"/>
        <w:left w:w="0" w:type="dxa"/>
        <w:bottom w:w="0" w:type="dxa"/>
        <w:right w:w="0" w:type="dxa"/>
      </w:tblCellMar>
    </w:tblPr>
  </w:style>
  <w:style w:type="paragraph" w:styleId="NormalWeb">
    <w:name w:val="Normal (Web)"/>
    <w:basedOn w:val="Normal1"/>
    <w:uiPriority w:val="99"/>
    <w:semiHidden/>
    <w:unhideWhenUsed/>
    <w:rsid w:val="00A43ED6"/>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43ED6"/>
    <w:rPr>
      <w:b/>
      <w:bCs/>
    </w:rPr>
  </w:style>
  <w:style w:type="table" w:styleId="TableGrid">
    <w:name w:val="Table Grid"/>
    <w:basedOn w:val="TableNormal"/>
    <w:uiPriority w:val="39"/>
    <w:rsid w:val="00D57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1"/>
    <w:uiPriority w:val="34"/>
    <w:qFormat/>
    <w:rsid w:val="006A5C4B"/>
    <w:pPr>
      <w:ind w:left="720"/>
      <w:contextualSpacing/>
    </w:pPr>
  </w:style>
  <w:style w:type="paragraph" w:styleId="HTMLPreformatted">
    <w:name w:val="HTML Preformatted"/>
    <w:basedOn w:val="Normal1"/>
    <w:link w:val="HTMLPreformattedChar"/>
    <w:uiPriority w:val="99"/>
    <w:semiHidden/>
    <w:unhideWhenUsed/>
    <w:rsid w:val="005E0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046B"/>
    <w:rPr>
      <w:rFonts w:ascii="Courier New" w:eastAsia="Times New Roman" w:hAnsi="Courier New" w:cs="Courier New"/>
      <w:sz w:val="20"/>
      <w:szCs w:val="20"/>
      <w:lang w:eastAsia="lt-LT"/>
    </w:rPr>
  </w:style>
  <w:style w:type="character" w:customStyle="1" w:styleId="y2iqfc">
    <w:name w:val="y2iqfc"/>
    <w:basedOn w:val="DefaultParagraphFont"/>
    <w:rsid w:val="005E046B"/>
  </w:style>
  <w:style w:type="table" w:customStyle="1" w:styleId="a">
    <w:basedOn w:val="TableNormal"/>
    <w:rsid w:val="004F4F19"/>
    <w:tblPr>
      <w:tblStyleRowBandSize w:val="1"/>
      <w:tblStyleColBandSize w:val="1"/>
    </w:tblPr>
  </w:style>
  <w:style w:type="table" w:customStyle="1" w:styleId="a0">
    <w:basedOn w:val="TableNormal"/>
    <w:rsid w:val="004F4F19"/>
    <w:tblPr>
      <w:tblStyleRowBandSize w:val="1"/>
      <w:tblStyleColBandSize w:val="1"/>
      <w:tblCellMar>
        <w:left w:w="115" w:type="dxa"/>
        <w:right w:w="115" w:type="dxa"/>
      </w:tblCellMar>
    </w:tblPr>
  </w:style>
  <w:style w:type="table" w:customStyle="1" w:styleId="a1">
    <w:basedOn w:val="TableNormal"/>
    <w:rsid w:val="004F4F19"/>
    <w:tblPr>
      <w:tblStyleRowBandSize w:val="1"/>
      <w:tblStyleColBandSize w:val="1"/>
      <w:tblCellMar>
        <w:left w:w="115" w:type="dxa"/>
        <w:right w:w="115" w:type="dxa"/>
      </w:tblCellMar>
    </w:tblPr>
  </w:style>
  <w:style w:type="table" w:customStyle="1" w:styleId="a2">
    <w:basedOn w:val="TableNormal"/>
    <w:rsid w:val="004F4F19"/>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NoSpacing">
    <w:name w:val="No Spacing"/>
    <w:uiPriority w:val="1"/>
    <w:qFormat/>
    <w:rsid w:val="002B54C6"/>
  </w:style>
  <w:style w:type="character" w:styleId="CommentReference">
    <w:name w:val="annotation reference"/>
    <w:basedOn w:val="DefaultParagraphFont"/>
    <w:uiPriority w:val="99"/>
    <w:semiHidden/>
    <w:unhideWhenUsed/>
    <w:rsid w:val="002B54C6"/>
    <w:rPr>
      <w:sz w:val="16"/>
      <w:szCs w:val="16"/>
    </w:rPr>
  </w:style>
  <w:style w:type="paragraph" w:styleId="CommentText">
    <w:name w:val="annotation text"/>
    <w:basedOn w:val="Normal"/>
    <w:link w:val="CommentTextChar"/>
    <w:uiPriority w:val="99"/>
    <w:semiHidden/>
    <w:unhideWhenUsed/>
    <w:rsid w:val="002B54C6"/>
    <w:rPr>
      <w:sz w:val="20"/>
      <w:szCs w:val="20"/>
    </w:rPr>
  </w:style>
  <w:style w:type="character" w:customStyle="1" w:styleId="CommentTextChar">
    <w:name w:val="Comment Text Char"/>
    <w:basedOn w:val="DefaultParagraphFont"/>
    <w:link w:val="CommentText"/>
    <w:uiPriority w:val="99"/>
    <w:semiHidden/>
    <w:rsid w:val="002B54C6"/>
    <w:rPr>
      <w:sz w:val="20"/>
      <w:szCs w:val="20"/>
    </w:rPr>
  </w:style>
  <w:style w:type="paragraph" w:styleId="CommentSubject">
    <w:name w:val="annotation subject"/>
    <w:basedOn w:val="CommentText"/>
    <w:next w:val="CommentText"/>
    <w:link w:val="CommentSubjectChar"/>
    <w:uiPriority w:val="99"/>
    <w:semiHidden/>
    <w:unhideWhenUsed/>
    <w:rsid w:val="002B54C6"/>
    <w:rPr>
      <w:b/>
      <w:bCs/>
    </w:rPr>
  </w:style>
  <w:style w:type="character" w:customStyle="1" w:styleId="CommentSubjectChar">
    <w:name w:val="Comment Subject Char"/>
    <w:basedOn w:val="CommentTextChar"/>
    <w:link w:val="CommentSubject"/>
    <w:uiPriority w:val="99"/>
    <w:semiHidden/>
    <w:rsid w:val="002B54C6"/>
    <w:rPr>
      <w:b/>
      <w:bCs/>
      <w:sz w:val="20"/>
      <w:szCs w:val="20"/>
    </w:rPr>
  </w:style>
  <w:style w:type="paragraph" w:styleId="BalloonText">
    <w:name w:val="Balloon Text"/>
    <w:basedOn w:val="Normal"/>
    <w:link w:val="BalloonTextChar"/>
    <w:uiPriority w:val="99"/>
    <w:semiHidden/>
    <w:unhideWhenUsed/>
    <w:rsid w:val="002B5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4C6"/>
    <w:rPr>
      <w:rFonts w:ascii="Segoe UI" w:hAnsi="Segoe UI" w:cs="Segoe UI"/>
      <w:sz w:val="18"/>
      <w:szCs w:val="18"/>
    </w:rPr>
  </w:style>
  <w:style w:type="paragraph" w:styleId="EndnoteText">
    <w:name w:val="endnote text"/>
    <w:basedOn w:val="Normal"/>
    <w:link w:val="EndnoteTextChar"/>
    <w:uiPriority w:val="99"/>
    <w:semiHidden/>
    <w:unhideWhenUsed/>
    <w:rsid w:val="004C42AE"/>
    <w:rPr>
      <w:sz w:val="20"/>
      <w:szCs w:val="20"/>
    </w:rPr>
  </w:style>
  <w:style w:type="character" w:customStyle="1" w:styleId="EndnoteTextChar">
    <w:name w:val="Endnote Text Char"/>
    <w:basedOn w:val="DefaultParagraphFont"/>
    <w:link w:val="EndnoteText"/>
    <w:uiPriority w:val="99"/>
    <w:semiHidden/>
    <w:rsid w:val="004C42AE"/>
    <w:rPr>
      <w:sz w:val="20"/>
      <w:szCs w:val="20"/>
    </w:rPr>
  </w:style>
  <w:style w:type="character" w:styleId="EndnoteReference">
    <w:name w:val="endnote reference"/>
    <w:basedOn w:val="DefaultParagraphFont"/>
    <w:uiPriority w:val="99"/>
    <w:semiHidden/>
    <w:unhideWhenUsed/>
    <w:rsid w:val="004C42AE"/>
    <w:rPr>
      <w:vertAlign w:val="superscript"/>
    </w:rPr>
  </w:style>
  <w:style w:type="paragraph" w:customStyle="1" w:styleId="p1">
    <w:name w:val="p1"/>
    <w:basedOn w:val="Normal"/>
    <w:rsid w:val="001A5880"/>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2839">
      <w:bodyDiv w:val="1"/>
      <w:marLeft w:val="0"/>
      <w:marRight w:val="0"/>
      <w:marTop w:val="0"/>
      <w:marBottom w:val="0"/>
      <w:divBdr>
        <w:top w:val="none" w:sz="0" w:space="0" w:color="auto"/>
        <w:left w:val="none" w:sz="0" w:space="0" w:color="auto"/>
        <w:bottom w:val="none" w:sz="0" w:space="0" w:color="auto"/>
        <w:right w:val="none" w:sz="0" w:space="0" w:color="auto"/>
      </w:divBdr>
    </w:div>
    <w:div w:id="101924133">
      <w:bodyDiv w:val="1"/>
      <w:marLeft w:val="0"/>
      <w:marRight w:val="0"/>
      <w:marTop w:val="0"/>
      <w:marBottom w:val="0"/>
      <w:divBdr>
        <w:top w:val="none" w:sz="0" w:space="0" w:color="auto"/>
        <w:left w:val="none" w:sz="0" w:space="0" w:color="auto"/>
        <w:bottom w:val="none" w:sz="0" w:space="0" w:color="auto"/>
        <w:right w:val="none" w:sz="0" w:space="0" w:color="auto"/>
      </w:divBdr>
    </w:div>
    <w:div w:id="118380927">
      <w:bodyDiv w:val="1"/>
      <w:marLeft w:val="0"/>
      <w:marRight w:val="0"/>
      <w:marTop w:val="0"/>
      <w:marBottom w:val="0"/>
      <w:divBdr>
        <w:top w:val="none" w:sz="0" w:space="0" w:color="auto"/>
        <w:left w:val="none" w:sz="0" w:space="0" w:color="auto"/>
        <w:bottom w:val="none" w:sz="0" w:space="0" w:color="auto"/>
        <w:right w:val="none" w:sz="0" w:space="0" w:color="auto"/>
      </w:divBdr>
    </w:div>
    <w:div w:id="981079236">
      <w:bodyDiv w:val="1"/>
      <w:marLeft w:val="0"/>
      <w:marRight w:val="0"/>
      <w:marTop w:val="0"/>
      <w:marBottom w:val="0"/>
      <w:divBdr>
        <w:top w:val="none" w:sz="0" w:space="0" w:color="auto"/>
        <w:left w:val="none" w:sz="0" w:space="0" w:color="auto"/>
        <w:bottom w:val="none" w:sz="0" w:space="0" w:color="auto"/>
        <w:right w:val="none" w:sz="0" w:space="0" w:color="auto"/>
      </w:divBdr>
    </w:div>
    <w:div w:id="1031031907">
      <w:bodyDiv w:val="1"/>
      <w:marLeft w:val="0"/>
      <w:marRight w:val="0"/>
      <w:marTop w:val="0"/>
      <w:marBottom w:val="0"/>
      <w:divBdr>
        <w:top w:val="none" w:sz="0" w:space="0" w:color="auto"/>
        <w:left w:val="none" w:sz="0" w:space="0" w:color="auto"/>
        <w:bottom w:val="none" w:sz="0" w:space="0" w:color="auto"/>
        <w:right w:val="none" w:sz="0" w:space="0" w:color="auto"/>
      </w:divBdr>
    </w:div>
    <w:div w:id="1033654129">
      <w:bodyDiv w:val="1"/>
      <w:marLeft w:val="0"/>
      <w:marRight w:val="0"/>
      <w:marTop w:val="0"/>
      <w:marBottom w:val="0"/>
      <w:divBdr>
        <w:top w:val="none" w:sz="0" w:space="0" w:color="auto"/>
        <w:left w:val="none" w:sz="0" w:space="0" w:color="auto"/>
        <w:bottom w:val="none" w:sz="0" w:space="0" w:color="auto"/>
        <w:right w:val="none" w:sz="0" w:space="0" w:color="auto"/>
      </w:divBdr>
    </w:div>
    <w:div w:id="1071349723">
      <w:bodyDiv w:val="1"/>
      <w:marLeft w:val="0"/>
      <w:marRight w:val="0"/>
      <w:marTop w:val="0"/>
      <w:marBottom w:val="0"/>
      <w:divBdr>
        <w:top w:val="none" w:sz="0" w:space="0" w:color="auto"/>
        <w:left w:val="none" w:sz="0" w:space="0" w:color="auto"/>
        <w:bottom w:val="none" w:sz="0" w:space="0" w:color="auto"/>
        <w:right w:val="none" w:sz="0" w:space="0" w:color="auto"/>
      </w:divBdr>
    </w:div>
    <w:div w:id="1232932375">
      <w:bodyDiv w:val="1"/>
      <w:marLeft w:val="0"/>
      <w:marRight w:val="0"/>
      <w:marTop w:val="0"/>
      <w:marBottom w:val="0"/>
      <w:divBdr>
        <w:top w:val="none" w:sz="0" w:space="0" w:color="auto"/>
        <w:left w:val="none" w:sz="0" w:space="0" w:color="auto"/>
        <w:bottom w:val="none" w:sz="0" w:space="0" w:color="auto"/>
        <w:right w:val="none" w:sz="0" w:space="0" w:color="auto"/>
      </w:divBdr>
    </w:div>
    <w:div w:id="1286740735">
      <w:bodyDiv w:val="1"/>
      <w:marLeft w:val="0"/>
      <w:marRight w:val="0"/>
      <w:marTop w:val="0"/>
      <w:marBottom w:val="0"/>
      <w:divBdr>
        <w:top w:val="none" w:sz="0" w:space="0" w:color="auto"/>
        <w:left w:val="none" w:sz="0" w:space="0" w:color="auto"/>
        <w:bottom w:val="none" w:sz="0" w:space="0" w:color="auto"/>
        <w:right w:val="none" w:sz="0" w:space="0" w:color="auto"/>
      </w:divBdr>
    </w:div>
    <w:div w:id="1659840552">
      <w:bodyDiv w:val="1"/>
      <w:marLeft w:val="0"/>
      <w:marRight w:val="0"/>
      <w:marTop w:val="0"/>
      <w:marBottom w:val="0"/>
      <w:divBdr>
        <w:top w:val="none" w:sz="0" w:space="0" w:color="auto"/>
        <w:left w:val="none" w:sz="0" w:space="0" w:color="auto"/>
        <w:bottom w:val="none" w:sz="0" w:space="0" w:color="auto"/>
        <w:right w:val="none" w:sz="0" w:space="0" w:color="auto"/>
      </w:divBdr>
    </w:div>
    <w:div w:id="1662849710">
      <w:bodyDiv w:val="1"/>
      <w:marLeft w:val="0"/>
      <w:marRight w:val="0"/>
      <w:marTop w:val="0"/>
      <w:marBottom w:val="0"/>
      <w:divBdr>
        <w:top w:val="none" w:sz="0" w:space="0" w:color="auto"/>
        <w:left w:val="none" w:sz="0" w:space="0" w:color="auto"/>
        <w:bottom w:val="none" w:sz="0" w:space="0" w:color="auto"/>
        <w:right w:val="none" w:sz="0" w:space="0" w:color="auto"/>
      </w:divBdr>
    </w:div>
    <w:div w:id="19022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YmdCXfGpgsklXjG5yESBnjcQ5Q==">CgMxLjAyDmguajNxMHkyNDF0MW1uMg5oLmFiNGI5eHg4eW02MTgAciExTGZPaTNQa1IzSGZxLWhkM2VKMmFRSzRkM3ZyVUxxS3I=</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986D2-1348-4FD7-8A84-E780DF9266FD}">
  <ds:schemaRefs>
    <ds:schemaRef ds:uri="http://schemas.microsoft.com/office/infopath/2007/PartnerControls"/>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C8CEA12-EC55-4D6A-B8E1-5E1530C48632}">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9CBF75E-8308-4A8B-BFCA-B6778335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4CDFDA7-D6CE-4BF8-9472-61CEE180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5789</Words>
  <Characters>3300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Giedrius Leimonas</dc:creator>
  <cp:lastModifiedBy>Deimantė Valavičiūtė</cp:lastModifiedBy>
  <cp:revision>2</cp:revision>
  <cp:lastPrinted>2025-11-11T06:14:00Z</cp:lastPrinted>
  <dcterms:created xsi:type="dcterms:W3CDTF">2025-11-11T06:30:00Z</dcterms:created>
  <dcterms:modified xsi:type="dcterms:W3CDTF">2025-11-11T06:30:00Z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86aef2d9-e075-417f-96dd-49779f5786c6</vt:lpwstr>
  </property>
  <property fmtid="{D5CDD505-2E9C-101B-9397-08002B2CF9AE}" pid="3" name="ContentTypeId">
    <vt:lpwstr>0x010100C67D48B3863A4C44A14B2D98D006F7EA</vt:lpwstr>
  </property>
</Properties>
</file>