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833148" w:rsidRDefault="00DE3ABB">
      <w:pPr>
        <w:pStyle w:val="Default"/>
        <w:rPr>
          <w:sz w:val="22"/>
          <w:szCs w:val="22"/>
        </w:rPr>
      </w:pPr>
    </w:p>
    <w:p w14:paraId="697A229B" w14:textId="77777777" w:rsidR="00DE3ABB" w:rsidRPr="00833148" w:rsidRDefault="00DE3ABB">
      <w:pPr>
        <w:pStyle w:val="Default"/>
        <w:rPr>
          <w:sz w:val="22"/>
          <w:szCs w:val="22"/>
        </w:rPr>
      </w:pPr>
    </w:p>
    <w:p w14:paraId="0D8E7CC3" w14:textId="77777777" w:rsidR="00DE3ABB" w:rsidRPr="00833148" w:rsidRDefault="00DE3ABB">
      <w:pPr>
        <w:pStyle w:val="Default"/>
        <w:rPr>
          <w:sz w:val="22"/>
          <w:szCs w:val="22"/>
        </w:rPr>
      </w:pPr>
    </w:p>
    <w:p w14:paraId="683F42A1" w14:textId="65949CA4" w:rsidR="00D40FE5" w:rsidRPr="00833148" w:rsidRDefault="00D40FE5" w:rsidP="005011CE">
      <w:pPr>
        <w:pStyle w:val="Default"/>
        <w:spacing w:line="360" w:lineRule="auto"/>
        <w:jc w:val="center"/>
        <w:rPr>
          <w:b/>
          <w:bCs/>
          <w:sz w:val="22"/>
          <w:szCs w:val="22"/>
        </w:rPr>
      </w:pPr>
      <w:r w:rsidRPr="00833148">
        <w:rPr>
          <w:b/>
          <w:bCs/>
          <w:sz w:val="22"/>
          <w:szCs w:val="22"/>
        </w:rPr>
        <w:t>AKCINĖ BENDROVĖ „VIA LIETUVA“</w:t>
      </w:r>
    </w:p>
    <w:p w14:paraId="3068A870" w14:textId="77777777" w:rsidR="00497052" w:rsidRPr="00833148"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833148" w14:paraId="5DAEEB62" w14:textId="77777777" w:rsidTr="00590E61">
        <w:trPr>
          <w:trHeight w:val="236"/>
        </w:trPr>
        <w:tc>
          <w:tcPr>
            <w:tcW w:w="6412" w:type="dxa"/>
          </w:tcPr>
          <w:p w14:paraId="00C6D4C0" w14:textId="6B293AA0" w:rsidR="00497052" w:rsidRPr="00833148"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Pirkimo dalyv</w:t>
            </w:r>
            <w:r w:rsidR="004813BA" w:rsidRPr="00833148">
              <w:rPr>
                <w:sz w:val="22"/>
                <w:szCs w:val="22"/>
              </w:rPr>
              <w:t>iams</w:t>
            </w:r>
          </w:p>
        </w:tc>
        <w:tc>
          <w:tcPr>
            <w:tcW w:w="3936" w:type="dxa"/>
          </w:tcPr>
          <w:p w14:paraId="66DC8936" w14:textId="673D0A95" w:rsidR="00497052" w:rsidRPr="00833148"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833148">
              <w:rPr>
                <w:sz w:val="22"/>
                <w:szCs w:val="22"/>
              </w:rPr>
              <w:t xml:space="preserve">   </w:t>
            </w:r>
            <w:r w:rsidR="00F40424" w:rsidRPr="00833148">
              <w:rPr>
                <w:sz w:val="22"/>
                <w:szCs w:val="22"/>
              </w:rPr>
              <w:t xml:space="preserve"> </w:t>
            </w:r>
            <w:r w:rsidR="00590E61" w:rsidRPr="00833148">
              <w:rPr>
                <w:sz w:val="22"/>
                <w:szCs w:val="22"/>
              </w:rPr>
              <w:t xml:space="preserve">                </w:t>
            </w:r>
            <w:r w:rsidR="00562203" w:rsidRPr="00833148">
              <w:rPr>
                <w:sz w:val="22"/>
                <w:szCs w:val="22"/>
              </w:rPr>
              <w:t xml:space="preserve"> </w:t>
            </w:r>
            <w:r w:rsidR="00B65DE7" w:rsidRPr="00833148">
              <w:rPr>
                <w:sz w:val="22"/>
                <w:szCs w:val="22"/>
              </w:rPr>
              <w:t>202</w:t>
            </w:r>
            <w:r w:rsidR="000672F7" w:rsidRPr="00833148">
              <w:rPr>
                <w:sz w:val="22"/>
                <w:szCs w:val="22"/>
              </w:rPr>
              <w:t>5</w:t>
            </w:r>
            <w:r w:rsidR="00B65DE7" w:rsidRPr="00833148">
              <w:rPr>
                <w:sz w:val="22"/>
                <w:szCs w:val="22"/>
              </w:rPr>
              <w:t>-</w:t>
            </w:r>
            <w:r w:rsidR="002421F6">
              <w:rPr>
                <w:sz w:val="22"/>
                <w:szCs w:val="22"/>
              </w:rPr>
              <w:t>1</w:t>
            </w:r>
            <w:r w:rsidR="007B0E45">
              <w:rPr>
                <w:sz w:val="22"/>
                <w:szCs w:val="22"/>
              </w:rPr>
              <w:t>1</w:t>
            </w:r>
            <w:r w:rsidR="00972ECF">
              <w:rPr>
                <w:sz w:val="22"/>
                <w:szCs w:val="22"/>
              </w:rPr>
              <w:t>-</w:t>
            </w:r>
            <w:r w:rsidR="007B0E45">
              <w:rPr>
                <w:sz w:val="22"/>
                <w:szCs w:val="22"/>
              </w:rPr>
              <w:t>11</w:t>
            </w:r>
          </w:p>
        </w:tc>
        <w:tc>
          <w:tcPr>
            <w:tcW w:w="1991" w:type="dxa"/>
          </w:tcPr>
          <w:p w14:paraId="3588D70D" w14:textId="2F1B25C8" w:rsidR="00497052" w:rsidRPr="00833148"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833148" w14:paraId="55F36D5F" w14:textId="77777777" w:rsidTr="00590E61">
        <w:trPr>
          <w:gridAfter w:val="1"/>
          <w:wAfter w:w="1991" w:type="dxa"/>
          <w:trHeight w:val="695"/>
        </w:trPr>
        <w:tc>
          <w:tcPr>
            <w:tcW w:w="6412" w:type="dxa"/>
          </w:tcPr>
          <w:p w14:paraId="6CA287FB" w14:textId="77777777" w:rsidR="00590E61" w:rsidRPr="00833148"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AC6D61F" w:rsidR="00590E61" w:rsidRPr="00833148"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833148">
              <w:rPr>
                <w:sz w:val="22"/>
                <w:szCs w:val="22"/>
              </w:rPr>
              <w:t>Į 202</w:t>
            </w:r>
            <w:r w:rsidR="000672F7" w:rsidRPr="00833148">
              <w:rPr>
                <w:sz w:val="22"/>
                <w:szCs w:val="22"/>
              </w:rPr>
              <w:t>5</w:t>
            </w:r>
            <w:r w:rsidRPr="00833148">
              <w:rPr>
                <w:sz w:val="22"/>
                <w:szCs w:val="22"/>
              </w:rPr>
              <w:t>-</w:t>
            </w:r>
            <w:r w:rsidR="00216397">
              <w:rPr>
                <w:sz w:val="22"/>
                <w:szCs w:val="22"/>
              </w:rPr>
              <w:t>10</w:t>
            </w:r>
            <w:r w:rsidRPr="00833148">
              <w:rPr>
                <w:sz w:val="22"/>
                <w:szCs w:val="22"/>
              </w:rPr>
              <w:t>-</w:t>
            </w:r>
            <w:r w:rsidR="00F63DFF">
              <w:rPr>
                <w:sz w:val="22"/>
                <w:szCs w:val="22"/>
              </w:rPr>
              <w:t>20</w:t>
            </w:r>
          </w:p>
          <w:p w14:paraId="3247ACA8" w14:textId="1A8B42D4" w:rsidR="00590E61" w:rsidRPr="00833148"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833148">
              <w:rPr>
                <w:sz w:val="22"/>
                <w:szCs w:val="22"/>
              </w:rPr>
              <w:t xml:space="preserve"> </w:t>
            </w:r>
          </w:p>
        </w:tc>
      </w:tr>
    </w:tbl>
    <w:p w14:paraId="73920697" w14:textId="4604629C" w:rsidR="00D40FE5" w:rsidRDefault="00423EC3" w:rsidP="00465F11">
      <w:pPr>
        <w:pStyle w:val="Default"/>
        <w:rPr>
          <w:rFonts w:eastAsia="Arial Unicode MS"/>
          <w:b/>
          <w:bCs/>
          <w:sz w:val="22"/>
          <w:szCs w:val="22"/>
        </w:rPr>
      </w:pPr>
      <w:r w:rsidRPr="00833148">
        <w:rPr>
          <w:rFonts w:eastAsia="Arial Unicode MS"/>
          <w:b/>
          <w:bCs/>
          <w:sz w:val="22"/>
          <w:szCs w:val="22"/>
        </w:rPr>
        <w:t xml:space="preserve">DĖL PIRKIMO DOKUMENTŲ PAAIŠKINIMO </w:t>
      </w:r>
      <w:r w:rsidR="001F2297" w:rsidRPr="00833148">
        <w:rPr>
          <w:rFonts w:eastAsia="Arial Unicode MS"/>
          <w:b/>
          <w:bCs/>
          <w:sz w:val="22"/>
          <w:szCs w:val="22"/>
        </w:rPr>
        <w:t>Nr.</w:t>
      </w:r>
      <w:r w:rsidR="007B0E45">
        <w:rPr>
          <w:rFonts w:eastAsia="Arial Unicode MS"/>
          <w:b/>
          <w:bCs/>
          <w:sz w:val="22"/>
          <w:szCs w:val="22"/>
        </w:rPr>
        <w:t>6</w:t>
      </w:r>
    </w:p>
    <w:p w14:paraId="5EC2AB1E" w14:textId="77777777" w:rsidR="00465F11" w:rsidRPr="00833148" w:rsidRDefault="00465F11" w:rsidP="00465F11">
      <w:pPr>
        <w:pStyle w:val="Default"/>
        <w:rPr>
          <w:sz w:val="22"/>
          <w:szCs w:val="22"/>
        </w:rPr>
      </w:pPr>
    </w:p>
    <w:p w14:paraId="7749CEF2" w14:textId="61A9DF10" w:rsidR="00BC26C0" w:rsidRPr="00EF1F02" w:rsidRDefault="00423EC3" w:rsidP="002421F6">
      <w:pPr>
        <w:pStyle w:val="BodyText"/>
        <w:ind w:firstLine="0"/>
        <w:rPr>
          <w:rFonts w:ascii="Arial" w:hAnsi="Arial" w:cs="Arial"/>
          <w:sz w:val="22"/>
          <w:szCs w:val="22"/>
        </w:rPr>
      </w:pPr>
      <w:r w:rsidRPr="00EF1F02">
        <w:rPr>
          <w:rFonts w:ascii="Arial" w:hAnsi="Arial" w:cs="Arial"/>
          <w:sz w:val="22"/>
          <w:szCs w:val="22"/>
        </w:rPr>
        <w:t xml:space="preserve">      </w:t>
      </w:r>
      <w:r w:rsidR="00BC26C0" w:rsidRPr="00EF1F02">
        <w:rPr>
          <w:rFonts w:ascii="Arial" w:hAnsi="Arial" w:cs="Arial"/>
          <w:sz w:val="22"/>
          <w:szCs w:val="22"/>
        </w:rPr>
        <w:t xml:space="preserve">      Akcinė bendrovė “Via Lietuva” (toliau – </w:t>
      </w:r>
      <w:r w:rsidR="00EC0BEE" w:rsidRPr="00EF1F02">
        <w:rPr>
          <w:rFonts w:ascii="Arial" w:hAnsi="Arial" w:cs="Arial"/>
          <w:sz w:val="22"/>
          <w:szCs w:val="22"/>
        </w:rPr>
        <w:t>Perkančioji organizacija</w:t>
      </w:r>
      <w:r w:rsidR="00BC26C0" w:rsidRPr="00EF1F02">
        <w:rPr>
          <w:rFonts w:ascii="Arial" w:hAnsi="Arial" w:cs="Arial"/>
          <w:sz w:val="22"/>
          <w:szCs w:val="22"/>
        </w:rPr>
        <w:t>) gavo tiekėj</w:t>
      </w:r>
      <w:r w:rsidR="004C5CB9" w:rsidRPr="00EF1F02">
        <w:rPr>
          <w:rFonts w:ascii="Arial" w:hAnsi="Arial" w:cs="Arial"/>
          <w:sz w:val="22"/>
          <w:szCs w:val="22"/>
        </w:rPr>
        <w:t>o</w:t>
      </w:r>
      <w:r w:rsidR="00BC26C0" w:rsidRPr="00EF1F02">
        <w:rPr>
          <w:rFonts w:ascii="Arial" w:hAnsi="Arial" w:cs="Arial"/>
          <w:sz w:val="22"/>
          <w:szCs w:val="22"/>
        </w:rPr>
        <w:t xml:space="preserve"> klausim</w:t>
      </w:r>
      <w:r w:rsidR="000A161C" w:rsidRPr="00EF1F02">
        <w:rPr>
          <w:rFonts w:ascii="Arial" w:hAnsi="Arial" w:cs="Arial"/>
          <w:sz w:val="22"/>
          <w:szCs w:val="22"/>
        </w:rPr>
        <w:t>ą</w:t>
      </w:r>
      <w:r w:rsidR="00BC26C0" w:rsidRPr="00EF1F02">
        <w:rPr>
          <w:rFonts w:ascii="Arial" w:hAnsi="Arial" w:cs="Arial"/>
          <w:sz w:val="22"/>
          <w:szCs w:val="22"/>
        </w:rPr>
        <w:t xml:space="preserve"> dėl vykdomo pirkimo </w:t>
      </w:r>
      <w:r w:rsidR="002421F6">
        <w:rPr>
          <w:rFonts w:ascii="Arial" w:hAnsi="Arial" w:cs="Arial"/>
          <w:sz w:val="22"/>
          <w:szCs w:val="22"/>
        </w:rPr>
        <w:t>ID</w:t>
      </w:r>
      <w:r w:rsidR="005D392F" w:rsidRPr="00EF1F02">
        <w:rPr>
          <w:rFonts w:ascii="Arial" w:hAnsi="Arial" w:cs="Arial"/>
          <w:color w:val="00241A"/>
          <w:sz w:val="22"/>
          <w:szCs w:val="22"/>
          <w:shd w:val="clear" w:color="auto" w:fill="FFFFFF"/>
        </w:rPr>
        <w:t xml:space="preserve"> </w:t>
      </w:r>
      <w:r w:rsidR="002B5AD4" w:rsidRPr="002B5AD4">
        <w:rPr>
          <w:rFonts w:ascii="Arial" w:hAnsi="Arial" w:cs="Arial"/>
          <w:sz w:val="22"/>
          <w:szCs w:val="22"/>
        </w:rPr>
        <w:t>4736116</w:t>
      </w:r>
      <w:r w:rsidR="00BF4FEE" w:rsidRPr="00EF1F02">
        <w:rPr>
          <w:rFonts w:ascii="Arial" w:hAnsi="Arial" w:cs="Arial"/>
          <w:sz w:val="22"/>
          <w:szCs w:val="22"/>
          <w:shd w:val="clear" w:color="auto" w:fill="FFFFFF"/>
        </w:rPr>
        <w:t xml:space="preserve"> </w:t>
      </w:r>
      <w:r w:rsidR="00253ABF" w:rsidRPr="00EF1F02">
        <w:rPr>
          <w:rFonts w:ascii="Arial" w:hAnsi="Arial" w:cs="Arial"/>
          <w:b/>
          <w:bCs/>
          <w:sz w:val="22"/>
          <w:szCs w:val="22"/>
        </w:rPr>
        <w:t>„</w:t>
      </w:r>
      <w:r w:rsidR="002B5AD4">
        <w:rPr>
          <w:rFonts w:ascii="Arial" w:hAnsi="Arial" w:cs="Arial"/>
          <w:b/>
          <w:bCs/>
          <w:sz w:val="22"/>
          <w:szCs w:val="22"/>
        </w:rPr>
        <w:t>Krašto kelio Nr. 179 Dusetos – Degučiai – Dūkštas ruožo nuo 0 iki 6,04 km kapitalinis remontas</w:t>
      </w:r>
      <w:r w:rsidR="001D17AB" w:rsidRPr="00EF1F02">
        <w:rPr>
          <w:rFonts w:ascii="Arial" w:hAnsi="Arial" w:cs="Arial"/>
          <w:b/>
          <w:bCs/>
          <w:sz w:val="22"/>
          <w:szCs w:val="22"/>
        </w:rPr>
        <w:t xml:space="preserve">“ </w:t>
      </w:r>
      <w:r w:rsidR="00BC26C0" w:rsidRPr="00EF1F02">
        <w:rPr>
          <w:rFonts w:ascii="Arial" w:hAnsi="Arial" w:cs="Arial"/>
          <w:sz w:val="22"/>
          <w:szCs w:val="22"/>
        </w:rPr>
        <w:t>dokumentų.</w:t>
      </w:r>
    </w:p>
    <w:p w14:paraId="65951A0A" w14:textId="7C10B2F4" w:rsidR="00BC26C0" w:rsidRPr="00EF1F02" w:rsidRDefault="002229FD" w:rsidP="00833148">
      <w:pPr>
        <w:ind w:firstLine="567"/>
        <w:jc w:val="both"/>
        <w:rPr>
          <w:rFonts w:ascii="Arial" w:hAnsi="Arial" w:cs="Arial"/>
          <w:sz w:val="22"/>
          <w:szCs w:val="22"/>
        </w:rPr>
      </w:pPr>
      <w:r w:rsidRPr="00EF1F02">
        <w:rPr>
          <w:rFonts w:ascii="Arial" w:hAnsi="Arial" w:cs="Arial"/>
          <w:sz w:val="22"/>
          <w:szCs w:val="22"/>
        </w:rPr>
        <w:t>Perkančioji organizacija</w:t>
      </w:r>
      <w:r w:rsidR="00BC26C0" w:rsidRPr="00EF1F02">
        <w:rPr>
          <w:rFonts w:ascii="Arial" w:hAnsi="Arial" w:cs="Arial"/>
          <w:sz w:val="22"/>
          <w:szCs w:val="22"/>
        </w:rPr>
        <w:t xml:space="preserve"> teikia suinteresuoto tiekėjo klausim</w:t>
      </w:r>
      <w:r w:rsidR="0007089D" w:rsidRPr="00EF1F02">
        <w:rPr>
          <w:rFonts w:ascii="Arial" w:hAnsi="Arial" w:cs="Arial"/>
          <w:sz w:val="22"/>
          <w:szCs w:val="22"/>
        </w:rPr>
        <w:t>ą</w:t>
      </w:r>
      <w:r w:rsidR="00BC26C0" w:rsidRPr="00EF1F02">
        <w:rPr>
          <w:rFonts w:ascii="Arial" w:hAnsi="Arial" w:cs="Arial"/>
          <w:sz w:val="22"/>
          <w:szCs w:val="22"/>
        </w:rPr>
        <w:t xml:space="preserve"> ir atsakym</w:t>
      </w:r>
      <w:r w:rsidR="0007089D" w:rsidRPr="00EF1F02">
        <w:rPr>
          <w:rFonts w:ascii="Arial" w:hAnsi="Arial" w:cs="Arial"/>
          <w:sz w:val="22"/>
          <w:szCs w:val="22"/>
        </w:rPr>
        <w:t>ą</w:t>
      </w:r>
      <w:r w:rsidR="00BC26C0" w:rsidRPr="00EF1F02">
        <w:rPr>
          <w:rFonts w:ascii="Arial" w:hAnsi="Arial" w:cs="Arial"/>
          <w:sz w:val="22"/>
          <w:szCs w:val="22"/>
        </w:rPr>
        <w:t xml:space="preserve"> į j</w:t>
      </w:r>
      <w:r w:rsidR="0007089D" w:rsidRPr="00EF1F02">
        <w:rPr>
          <w:rFonts w:ascii="Arial" w:hAnsi="Arial" w:cs="Arial"/>
          <w:sz w:val="22"/>
          <w:szCs w:val="22"/>
        </w:rPr>
        <w:t>į</w:t>
      </w:r>
      <w:r w:rsidR="00BC26C0" w:rsidRPr="00EF1F02">
        <w:rPr>
          <w:rFonts w:ascii="Arial" w:hAnsi="Arial" w:cs="Arial"/>
          <w:sz w:val="22"/>
          <w:szCs w:val="22"/>
          <w:vertAlign w:val="superscript"/>
        </w:rPr>
        <w:t>*</w:t>
      </w:r>
      <w:r w:rsidR="00BC26C0" w:rsidRPr="00EF1F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833148"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833148" w:rsidRDefault="00BC26C0" w:rsidP="00D2460C">
            <w:pPr>
              <w:spacing w:line="276" w:lineRule="auto"/>
              <w:jc w:val="both"/>
              <w:rPr>
                <w:rFonts w:ascii="Arial" w:hAnsi="Arial" w:cs="Arial"/>
                <w:b/>
                <w:bCs/>
                <w:sz w:val="22"/>
                <w:szCs w:val="22"/>
              </w:rPr>
            </w:pPr>
            <w:r w:rsidRPr="00833148">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833148" w:rsidRDefault="00BC26C0" w:rsidP="00876961">
            <w:pPr>
              <w:spacing w:line="276" w:lineRule="auto"/>
              <w:jc w:val="center"/>
              <w:rPr>
                <w:rFonts w:ascii="Arial" w:hAnsi="Arial" w:cs="Arial"/>
                <w:b/>
                <w:bCs/>
                <w:sz w:val="22"/>
                <w:szCs w:val="22"/>
              </w:rPr>
            </w:pPr>
            <w:r w:rsidRPr="00833148">
              <w:rPr>
                <w:rFonts w:ascii="Arial" w:hAnsi="Arial" w:cs="Arial"/>
                <w:b/>
                <w:bCs/>
                <w:sz w:val="22"/>
                <w:szCs w:val="22"/>
              </w:rPr>
              <w:t>Atsakymas</w:t>
            </w:r>
          </w:p>
        </w:tc>
      </w:tr>
      <w:tr w:rsidR="00E06EDB" w:rsidRPr="00833148"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833148" w:rsidRDefault="00747573" w:rsidP="00D2460C">
            <w:pPr>
              <w:spacing w:line="276" w:lineRule="auto"/>
              <w:jc w:val="center"/>
              <w:rPr>
                <w:rFonts w:ascii="Arial" w:hAnsi="Arial" w:cs="Arial"/>
                <w:sz w:val="22"/>
                <w:szCs w:val="22"/>
              </w:rPr>
            </w:pPr>
            <w:r w:rsidRPr="00833148">
              <w:rPr>
                <w:rFonts w:ascii="Arial" w:hAnsi="Arial" w:cs="Arial"/>
                <w:sz w:val="22"/>
                <w:szCs w:val="22"/>
              </w:rPr>
              <w:t>1</w:t>
            </w:r>
            <w:r w:rsidR="00E06EDB" w:rsidRPr="00833148">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65FA89B" w14:textId="77777777" w:rsidR="00F63DFF" w:rsidRPr="00544FD5" w:rsidRDefault="00F63DFF" w:rsidP="00F63DFF">
            <w:pPr>
              <w:pStyle w:val="NoSpacing"/>
              <w:jc w:val="both"/>
              <w:rPr>
                <w:rFonts w:ascii="Times New Roman" w:hAnsi="Times New Roman" w:cs="Times New Roman"/>
                <w:b/>
                <w:bCs/>
                <w:sz w:val="24"/>
                <w:szCs w:val="24"/>
                <w:lang w:val="lt-LT"/>
              </w:rPr>
            </w:pPr>
            <w:bookmarkStart w:id="0" w:name="OLE_LINK22"/>
            <w:r w:rsidRPr="00376808">
              <w:rPr>
                <w:rFonts w:ascii="Times New Roman" w:hAnsi="Times New Roman" w:cs="Times New Roman"/>
                <w:b/>
                <w:bCs/>
                <w:sz w:val="24"/>
                <w:szCs w:val="24"/>
                <w:lang w:val="lt-LT"/>
              </w:rPr>
              <w:t xml:space="preserve">Projektinė situacija: </w:t>
            </w:r>
            <w:r w:rsidRPr="00376808">
              <w:rPr>
                <w:rFonts w:ascii="Times New Roman" w:hAnsi="Times New Roman" w:cs="Times New Roman"/>
                <w:sz w:val="24"/>
                <w:szCs w:val="24"/>
                <w:lang w:val="lt-LT"/>
              </w:rPr>
              <w:t xml:space="preserve">Projekto, susisiekimo dalies, techninių specifikacijų, 9 skyriaus (Geosintetinės medžiagos) 9.1.3. poskyryje nurodomos techninės specifikacijos  120 kN/m geotinklui. Kaip vienas iš reikalavimų, nurodomas minimalus užtikrintas projektinis ilgalaikis stipris tempiant išilgai 120 metų – 67,08 kN/m. Norime pabrėžti, kad </w:t>
            </w:r>
            <w:r>
              <w:rPr>
                <w:rFonts w:ascii="Times New Roman" w:hAnsi="Times New Roman" w:cs="Times New Roman"/>
                <w:sz w:val="24"/>
                <w:szCs w:val="24"/>
                <w:lang w:val="lt-LT"/>
              </w:rPr>
              <w:t>ši reikšmė yra netipiška tokiam geotinklui</w:t>
            </w:r>
            <w:r w:rsidRPr="00376808">
              <w:rPr>
                <w:rFonts w:ascii="Times New Roman" w:hAnsi="Times New Roman" w:cs="Times New Roman"/>
                <w:sz w:val="24"/>
                <w:szCs w:val="24"/>
                <w:lang w:val="lt-LT"/>
              </w:rPr>
              <w:t>, todėl tikėtina reikalavimuose</w:t>
            </w:r>
            <w:r>
              <w:rPr>
                <w:rFonts w:ascii="Times New Roman" w:hAnsi="Times New Roman" w:cs="Times New Roman"/>
                <w:sz w:val="24"/>
                <w:szCs w:val="24"/>
                <w:lang w:val="lt-LT"/>
              </w:rPr>
              <w:t xml:space="preserve"> yra</w:t>
            </w:r>
            <w:r w:rsidRPr="00376808">
              <w:rPr>
                <w:rFonts w:ascii="Times New Roman" w:hAnsi="Times New Roman" w:cs="Times New Roman"/>
                <w:sz w:val="24"/>
                <w:szCs w:val="24"/>
                <w:lang w:val="lt-LT"/>
              </w:rPr>
              <w:t xml:space="preserve"> įsivėlusi klaida.</w:t>
            </w:r>
          </w:p>
          <w:p w14:paraId="2EFDDF9E" w14:textId="0A7D8AF1" w:rsidR="00E06EDB" w:rsidRPr="00833148" w:rsidRDefault="00F63DFF" w:rsidP="00F63DFF">
            <w:pPr>
              <w:pStyle w:val="NoSpacing"/>
              <w:jc w:val="both"/>
              <w:rPr>
                <w:rFonts w:ascii="Arial" w:hAnsi="Arial" w:cs="Arial"/>
              </w:rPr>
            </w:pPr>
            <w:r w:rsidRPr="00376808">
              <w:rPr>
                <w:rFonts w:ascii="Times New Roman" w:hAnsi="Times New Roman" w:cs="Times New Roman"/>
                <w:b/>
                <w:bCs/>
                <w:sz w:val="24"/>
                <w:szCs w:val="24"/>
                <w:lang w:val="lt-LT"/>
              </w:rPr>
              <w:t xml:space="preserve">Prašymas patikslinti: </w:t>
            </w:r>
            <w:r w:rsidRPr="00376808">
              <w:rPr>
                <w:rFonts w:ascii="Times New Roman" w:hAnsi="Times New Roman" w:cs="Times New Roman"/>
                <w:sz w:val="24"/>
                <w:szCs w:val="24"/>
                <w:lang w:val="lt-LT"/>
              </w:rPr>
              <w:t>Atsižvelgiant į pateiktas pastabas, prašome patikslinti susisiekimo dalies, techninių specifikacijų, 9 skyriaus (Geosintetinės medžiagos), 9.1.3. poskyryje nurodytą geotinklo specifikaciją.</w:t>
            </w:r>
            <w:bookmarkEnd w:id="0"/>
          </w:p>
        </w:tc>
        <w:tc>
          <w:tcPr>
            <w:tcW w:w="4536" w:type="dxa"/>
            <w:tcBorders>
              <w:top w:val="single" w:sz="4" w:space="0" w:color="auto"/>
              <w:left w:val="single" w:sz="4" w:space="0" w:color="auto"/>
              <w:bottom w:val="single" w:sz="4" w:space="0" w:color="auto"/>
              <w:right w:val="single" w:sz="4" w:space="0" w:color="auto"/>
            </w:tcBorders>
          </w:tcPr>
          <w:p w14:paraId="09111C6A" w14:textId="3D4DD36A" w:rsidR="00B36BCB" w:rsidRPr="00B36BCB" w:rsidRDefault="00ED20B2" w:rsidP="00B36BCB">
            <w:pPr>
              <w:pStyle w:val="NoSpacing"/>
              <w:jc w:val="both"/>
              <w:rPr>
                <w:rFonts w:ascii="Times New Roman" w:hAnsi="Times New Roman" w:cs="Times New Roman"/>
                <w:sz w:val="24"/>
                <w:szCs w:val="24"/>
                <w:lang w:val="lt-LT"/>
              </w:rPr>
            </w:pPr>
            <w:r>
              <w:rPr>
                <w:rFonts w:ascii="Times New Roman" w:hAnsi="Times New Roman" w:cs="Times New Roman"/>
                <w:sz w:val="24"/>
                <w:szCs w:val="24"/>
                <w:lang w:val="lt-LT"/>
              </w:rPr>
              <w:t>S</w:t>
            </w:r>
            <w:r w:rsidR="00B36BCB" w:rsidRPr="00B36BCB">
              <w:rPr>
                <w:rFonts w:ascii="Times New Roman" w:hAnsi="Times New Roman" w:cs="Times New Roman"/>
                <w:sz w:val="24"/>
                <w:szCs w:val="24"/>
                <w:lang w:val="lt-LT"/>
              </w:rPr>
              <w:t>pecifikacijoje nurodyta reikšmė paliekama galioti. 67,08 kN/m yra minimalus užtikrintas projektinis ilgalaikis stipris (Td) po 120 metų, apskaičiuotas iš gamintojo deklaruojamo galutinio tempiamojo stiprio (Tult) taikant nustatytus redukcinius koeficientus (įrengimo pažeidimų, ilgalaikio slinkimo/creep, cheminių ir kitų poveikių) pagal taikomus EN/ISO bandymų ir skaičiavimo metodus. Tad reikalavimas nėra netipiškas projektiniam stipriui (Td) ir neatspindi vien Tult reikšmės.</w:t>
            </w:r>
          </w:p>
          <w:p w14:paraId="707BBD2F"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Dėl lygiaverčių pasiūlymų.</w:t>
            </w:r>
            <w:r w:rsidRPr="00B36BCB">
              <w:rPr>
                <w:rFonts w:ascii="Times New Roman" w:hAnsi="Times New Roman" w:cs="Times New Roman"/>
                <w:sz w:val="24"/>
                <w:szCs w:val="24"/>
                <w:lang w:val="lt-LT"/>
              </w:rPr>
              <w:br/>
              <w:t>Bus priimami lygiaverčiai geotinklai, jeigu tiekėjas pateiks dokumentus, patvirtinančius, kad:</w:t>
            </w:r>
          </w:p>
          <w:p w14:paraId="5615BA7F"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gaminio Tult ir redukcinių koeficientų (įrengimo, ilgaamžiškumo ir kt.) taikymas pagrįstas gamintojo bandymų ataskaitomis pagal atitinkamus EN/ISO metodus;</w:t>
            </w:r>
          </w:p>
          <w:p w14:paraId="1AA06EBC"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apskaičiuotas Td projektiniam 120 metų eksploatacijos laikotarpiui yra ne mažesnis kaip 67,08 kN/m;</w:t>
            </w:r>
          </w:p>
          <w:p w14:paraId="17C4D88C"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pateikti atitiktį pagrindžiantys dokumentai (DoP/sertifikatai, bandymų protokolai ir skaičiavimai).</w:t>
            </w:r>
          </w:p>
          <w:p w14:paraId="5C7882BE" w14:textId="2D4EFAA3" w:rsidR="001E32CD" w:rsidRPr="00B36BCB" w:rsidRDefault="001E32CD" w:rsidP="00B36BCB">
            <w:pPr>
              <w:pStyle w:val="NoSpacing"/>
              <w:jc w:val="both"/>
              <w:rPr>
                <w:rFonts w:ascii="Times New Roman" w:hAnsi="Times New Roman" w:cs="Times New Roman"/>
                <w:b/>
                <w:bCs/>
                <w:sz w:val="24"/>
                <w:szCs w:val="24"/>
                <w:lang w:val="lt-LT"/>
              </w:rPr>
            </w:pPr>
          </w:p>
        </w:tc>
      </w:tr>
      <w:tr w:rsidR="0026786D" w:rsidRPr="00833148" w14:paraId="2DE6C03F" w14:textId="77777777" w:rsidTr="00B2757E">
        <w:tc>
          <w:tcPr>
            <w:tcW w:w="562" w:type="dxa"/>
            <w:tcBorders>
              <w:top w:val="single" w:sz="4" w:space="0" w:color="auto"/>
              <w:left w:val="single" w:sz="4" w:space="0" w:color="auto"/>
              <w:bottom w:val="single" w:sz="4" w:space="0" w:color="auto"/>
              <w:right w:val="single" w:sz="4" w:space="0" w:color="auto"/>
            </w:tcBorders>
          </w:tcPr>
          <w:p w14:paraId="356B422C" w14:textId="694DEFA1" w:rsidR="0026786D" w:rsidRPr="00833148" w:rsidRDefault="0026786D" w:rsidP="00D2460C">
            <w:pPr>
              <w:spacing w:line="276" w:lineRule="auto"/>
              <w:jc w:val="center"/>
              <w:rPr>
                <w:rFonts w:ascii="Arial" w:hAnsi="Arial" w:cs="Arial"/>
                <w:sz w:val="22"/>
                <w:szCs w:val="22"/>
              </w:rPr>
            </w:pPr>
            <w:r>
              <w:rPr>
                <w:rFonts w:ascii="Arial" w:hAnsi="Arial" w:cs="Arial"/>
                <w:sz w:val="22"/>
                <w:szCs w:val="22"/>
              </w:rPr>
              <w:t>2.</w:t>
            </w:r>
          </w:p>
        </w:tc>
        <w:tc>
          <w:tcPr>
            <w:tcW w:w="4962" w:type="dxa"/>
            <w:tcBorders>
              <w:top w:val="single" w:sz="4" w:space="0" w:color="auto"/>
              <w:left w:val="single" w:sz="4" w:space="0" w:color="auto"/>
              <w:bottom w:val="single" w:sz="4" w:space="0" w:color="auto"/>
              <w:right w:val="single" w:sz="4" w:space="0" w:color="auto"/>
            </w:tcBorders>
          </w:tcPr>
          <w:p w14:paraId="13730495" w14:textId="53435E78" w:rsidR="00F63DFF" w:rsidRPr="00397A48" w:rsidRDefault="00F63DFF" w:rsidP="00F63DFF">
            <w:pPr>
              <w:pStyle w:val="NoSpacing"/>
              <w:jc w:val="both"/>
              <w:rPr>
                <w:rFonts w:ascii="Times New Roman" w:hAnsi="Times New Roman" w:cs="Times New Roman"/>
                <w:sz w:val="24"/>
                <w:szCs w:val="24"/>
                <w:lang w:val="lt-LT"/>
              </w:rPr>
            </w:pPr>
            <w:bookmarkStart w:id="1" w:name="OLE_LINK23"/>
            <w:r w:rsidRPr="00175B19">
              <w:rPr>
                <w:rFonts w:ascii="Times New Roman" w:hAnsi="Times New Roman" w:cs="Times New Roman"/>
                <w:b/>
                <w:bCs/>
                <w:sz w:val="24"/>
                <w:szCs w:val="24"/>
                <w:lang w:val="lt-LT"/>
              </w:rPr>
              <w:t xml:space="preserve">Projektinė situacija: </w:t>
            </w:r>
            <w:r w:rsidRPr="00A0114B">
              <w:rPr>
                <w:rFonts w:ascii="Times New Roman" w:hAnsi="Times New Roman" w:cs="Times New Roman"/>
                <w:sz w:val="24"/>
                <w:szCs w:val="24"/>
                <w:lang w:val="lt-LT"/>
              </w:rPr>
              <w:t xml:space="preserve">Projekto, susisiekimo dalies, techninių specifikacijų, </w:t>
            </w:r>
            <w:r>
              <w:rPr>
                <w:rFonts w:ascii="Times New Roman" w:hAnsi="Times New Roman" w:cs="Times New Roman"/>
                <w:sz w:val="24"/>
                <w:szCs w:val="24"/>
                <w:lang w:val="lt-LT"/>
              </w:rPr>
              <w:t>15</w:t>
            </w:r>
            <w:r w:rsidRPr="00A0114B">
              <w:rPr>
                <w:rFonts w:ascii="Times New Roman" w:hAnsi="Times New Roman" w:cs="Times New Roman"/>
                <w:sz w:val="24"/>
                <w:szCs w:val="24"/>
                <w:lang w:val="lt-LT"/>
              </w:rPr>
              <w:t xml:space="preserve"> skyriaus (</w:t>
            </w:r>
            <w:r w:rsidRPr="00AB45F6">
              <w:rPr>
                <w:rFonts w:ascii="Times New Roman" w:hAnsi="Times New Roman" w:cs="Times New Roman"/>
                <w:sz w:val="24"/>
                <w:szCs w:val="24"/>
                <w:lang w:val="lt-LT"/>
              </w:rPr>
              <w:t>Šlaitų tvirtinimas pintos vielos tinklais</w:t>
            </w:r>
            <w:r w:rsidRPr="00A0114B">
              <w:rPr>
                <w:rFonts w:ascii="Times New Roman" w:hAnsi="Times New Roman" w:cs="Times New Roman"/>
                <w:sz w:val="24"/>
                <w:szCs w:val="24"/>
                <w:lang w:val="lt-LT"/>
              </w:rPr>
              <w:t xml:space="preserve">) </w:t>
            </w:r>
            <w:r>
              <w:rPr>
                <w:rFonts w:ascii="Times New Roman" w:hAnsi="Times New Roman" w:cs="Times New Roman"/>
                <w:sz w:val="24"/>
                <w:szCs w:val="24"/>
                <w:lang w:val="lt-LT"/>
              </w:rPr>
              <w:t>1</w:t>
            </w:r>
            <w:r w:rsidRPr="00A0114B">
              <w:rPr>
                <w:rFonts w:ascii="Times New Roman" w:hAnsi="Times New Roman" w:cs="Times New Roman"/>
                <w:sz w:val="24"/>
                <w:szCs w:val="24"/>
                <w:lang w:val="lt-LT"/>
              </w:rPr>
              <w:t xml:space="preserve">. </w:t>
            </w:r>
            <w:r>
              <w:rPr>
                <w:rFonts w:ascii="Times New Roman" w:hAnsi="Times New Roman" w:cs="Times New Roman"/>
                <w:sz w:val="24"/>
                <w:szCs w:val="24"/>
                <w:lang w:val="lt-LT"/>
              </w:rPr>
              <w:t>lentelėje</w:t>
            </w:r>
            <w:r w:rsidRPr="00A0114B">
              <w:rPr>
                <w:rFonts w:ascii="Times New Roman" w:hAnsi="Times New Roman" w:cs="Times New Roman"/>
                <w:sz w:val="24"/>
                <w:szCs w:val="24"/>
                <w:lang w:val="lt-LT"/>
              </w:rPr>
              <w:t xml:space="preserve"> nurodomos techninės specifikacijos šlaitų armavimo sistemai pagamintai iš dvigubo pynimo vielos tinklo. Šiai medžiagai pateikiamas reikalavimas kuriame nurodoma „Atsparumas </w:t>
            </w:r>
            <w:r w:rsidRPr="00A0114B">
              <w:rPr>
                <w:rFonts w:ascii="Times New Roman" w:hAnsi="Times New Roman" w:cs="Times New Roman"/>
                <w:sz w:val="24"/>
                <w:szCs w:val="24"/>
                <w:lang w:val="lt-LT"/>
              </w:rPr>
              <w:lastRenderedPageBreak/>
              <w:t>abrazijai, pagal EN 60229 standartą 100000 ciklų“. Tačiau šis standartas nėra tinkamas tokio tipo gaminiams, nes EN 60229 taikomas išskirtinai instaliaciniams el. kabeliams, o ne šlaitų armavimui skirtoms medžiagoms.</w:t>
            </w:r>
            <w:r>
              <w:rPr>
                <w:rFonts w:ascii="Times New Roman" w:hAnsi="Times New Roman" w:cs="Times New Roman"/>
                <w:sz w:val="24"/>
                <w:szCs w:val="24"/>
                <w:lang w:val="lt-LT"/>
              </w:rPr>
              <w:t>\</w:t>
            </w:r>
            <w:r w:rsidRPr="00C31C60">
              <w:rPr>
                <w:b/>
                <w:bCs/>
              </w:rPr>
              <w:t xml:space="preserve"> </w:t>
            </w:r>
            <w:r w:rsidRPr="00C31C60">
              <w:rPr>
                <w:rFonts w:ascii="Times New Roman" w:hAnsi="Times New Roman" w:cs="Times New Roman"/>
                <w:b/>
                <w:bCs/>
                <w:sz w:val="24"/>
                <w:szCs w:val="24"/>
                <w:lang w:val="lt-LT"/>
              </w:rPr>
              <w:t>Prašymas patikslinti</w:t>
            </w:r>
            <w:r w:rsidRPr="00BE377A">
              <w:rPr>
                <w:rFonts w:ascii="Times New Roman" w:hAnsi="Times New Roman" w:cs="Times New Roman"/>
                <w:b/>
                <w:bCs/>
                <w:sz w:val="24"/>
                <w:szCs w:val="24"/>
                <w:lang w:val="lt-LT"/>
              </w:rPr>
              <w:t xml:space="preserve">: </w:t>
            </w:r>
            <w:r w:rsidRPr="00397A48">
              <w:rPr>
                <w:rFonts w:ascii="Times New Roman" w:hAnsi="Times New Roman" w:cs="Times New Roman"/>
                <w:sz w:val="24"/>
                <w:szCs w:val="24"/>
                <w:lang w:val="lt-LT"/>
              </w:rPr>
              <w:t xml:space="preserve">Prašome </w:t>
            </w:r>
            <w:r>
              <w:rPr>
                <w:rFonts w:ascii="Times New Roman" w:hAnsi="Times New Roman" w:cs="Times New Roman"/>
                <w:sz w:val="24"/>
                <w:szCs w:val="24"/>
                <w:lang w:val="lt-LT"/>
              </w:rPr>
              <w:t>pašalinti atsparumo abrazijai reikalavimą pagal EN 60229 standartą 100000 ciklų, paliekant galioti atsparumą abrazijai pagal ASTM A975-21 standartą &gt; 300 ciklų.</w:t>
            </w:r>
          </w:p>
          <w:bookmarkEnd w:id="1"/>
          <w:p w14:paraId="1250077A" w14:textId="3E8390E2" w:rsidR="00F63DFF" w:rsidRPr="00175B19" w:rsidRDefault="00F63DFF" w:rsidP="00F63DFF">
            <w:pPr>
              <w:pStyle w:val="NoSpacing"/>
              <w:jc w:val="both"/>
              <w:rPr>
                <w:rFonts w:ascii="Times New Roman" w:hAnsi="Times New Roman" w:cs="Times New Roman"/>
                <w:b/>
                <w:bCs/>
                <w:sz w:val="24"/>
                <w:szCs w:val="24"/>
                <w:lang w:val="lt-LT"/>
              </w:rPr>
            </w:pPr>
          </w:p>
          <w:p w14:paraId="6ED658F0" w14:textId="10265C63" w:rsidR="0026786D" w:rsidRDefault="0026786D" w:rsidP="00731531">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jc w:val="both"/>
              <w:rPr>
                <w:rFonts w:ascii="Calibri" w:eastAsia="Times New Roman" w:hAnsi="Calibri" w:cs="Calibri"/>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68D7CBE"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lastRenderedPageBreak/>
              <w:t>EN 60229 nėra taikytinas dvigubo pynimo vielos tinklui, todėl specifikacija tikslinama:</w:t>
            </w:r>
          </w:p>
          <w:p w14:paraId="1CF74012"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Iš 1 lentelės pašalinamas reikalavimas: „Atsparumas abrazijai pagal EN 60229, 100000 ciklų“.</w:t>
            </w:r>
          </w:p>
          <w:p w14:paraId="5461AB1C"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lastRenderedPageBreak/>
              <w:t>Paliekamas galioti reikalavimas: „Atsparumas abrazijai pagal ASTM A975-21, &gt; 300 ciklų“.</w:t>
            </w:r>
          </w:p>
          <w:p w14:paraId="41EE3055"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Kiti 15 skyriaus reikalavimai (tinklo tipas, vielos/dangos charakteristikos ir kt.) nesikeičia.</w:t>
            </w:r>
          </w:p>
          <w:p w14:paraId="69C0FA94"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Redakcinė ištrauka, skirta įrašyti į TS:</w:t>
            </w:r>
          </w:p>
          <w:p w14:paraId="2B59E778"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Atsparumas abrazijai: pagal ASTM A975-21, &gt; 300 ciklų.</w:t>
            </w:r>
          </w:p>
          <w:p w14:paraId="3311A90E"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(Išbraukti): „pagal EN 60229, 100000 ciklų“.</w:t>
            </w:r>
          </w:p>
          <w:p w14:paraId="478F5C58" w14:textId="77777777" w:rsidR="00B36BCB" w:rsidRPr="00B36BCB" w:rsidRDefault="00B36BCB" w:rsidP="00B36BCB">
            <w:pPr>
              <w:pStyle w:val="NoSpacing"/>
              <w:jc w:val="both"/>
              <w:rPr>
                <w:rFonts w:ascii="Times New Roman" w:hAnsi="Times New Roman" w:cs="Times New Roman"/>
                <w:sz w:val="24"/>
                <w:szCs w:val="24"/>
                <w:lang w:val="lt-LT"/>
              </w:rPr>
            </w:pPr>
            <w:r w:rsidRPr="00B36BCB">
              <w:rPr>
                <w:rFonts w:ascii="Times New Roman" w:hAnsi="Times New Roman" w:cs="Times New Roman"/>
                <w:sz w:val="24"/>
                <w:szCs w:val="24"/>
                <w:lang w:val="lt-LT"/>
              </w:rPr>
              <w:t>Šis paaiškinimas laikomas neatsiejama Pirkimo dokumentų dalimi; tiekėjai privalo juo vadovautis teikdami pasiūlymus.</w:t>
            </w:r>
          </w:p>
          <w:p w14:paraId="301EEFEA" w14:textId="77777777" w:rsidR="0026786D" w:rsidRPr="00B36BCB" w:rsidRDefault="0026786D" w:rsidP="00B36BCB">
            <w:pPr>
              <w:pStyle w:val="NoSpacing"/>
              <w:jc w:val="both"/>
              <w:rPr>
                <w:rFonts w:ascii="Times New Roman" w:hAnsi="Times New Roman" w:cs="Times New Roman"/>
                <w:sz w:val="24"/>
                <w:szCs w:val="24"/>
                <w:lang w:val="lt-LT"/>
              </w:rPr>
            </w:pPr>
          </w:p>
        </w:tc>
      </w:tr>
    </w:tbl>
    <w:p w14:paraId="22E9BB17" w14:textId="77777777" w:rsidR="00BC26C0" w:rsidRPr="00833148"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833148">
        <w:rPr>
          <w:rFonts w:ascii="Arial" w:hAnsi="Arial" w:cs="Arial"/>
          <w:i/>
          <w:iCs/>
          <w:sz w:val="22"/>
          <w:szCs w:val="22"/>
          <w:vertAlign w:val="superscript"/>
        </w:rPr>
        <w:lastRenderedPageBreak/>
        <w:t>*</w:t>
      </w:r>
      <w:r w:rsidRPr="00833148">
        <w:rPr>
          <w:rFonts w:ascii="Arial" w:hAnsi="Arial" w:cs="Arial"/>
          <w:i/>
          <w:iCs/>
          <w:sz w:val="22"/>
          <w:szCs w:val="22"/>
        </w:rPr>
        <w:t>Čia ir kitur suinteresuoto (-ų) tiekėjo (-ų) prašymo (-ų) paaiškinti / patikslinti pirkimo dokumentus tekstas neredaguotas.</w:t>
      </w:r>
    </w:p>
    <w:p w14:paraId="2EABA2DD" w14:textId="0084EF24" w:rsidR="007652F2" w:rsidRDefault="00BC26C0" w:rsidP="00646551">
      <w:pPr>
        <w:tabs>
          <w:tab w:val="left" w:pos="851"/>
        </w:tabs>
        <w:spacing w:line="276" w:lineRule="auto"/>
        <w:ind w:firstLine="567"/>
        <w:jc w:val="both"/>
        <w:rPr>
          <w:rFonts w:ascii="Arial" w:hAnsi="Arial" w:cs="Arial"/>
          <w:i/>
          <w:iCs/>
          <w:sz w:val="22"/>
          <w:szCs w:val="22"/>
        </w:rPr>
      </w:pPr>
      <w:r w:rsidRPr="00833148">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833148" w:rsidRDefault="00497052" w:rsidP="00FD766B">
      <w:pPr>
        <w:pStyle w:val="Default"/>
        <w:spacing w:line="276" w:lineRule="auto"/>
        <w:rPr>
          <w:sz w:val="22"/>
          <w:szCs w:val="22"/>
        </w:rPr>
      </w:pPr>
    </w:p>
    <w:sectPr w:rsidR="00497052" w:rsidRPr="00833148"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F76EA" w14:textId="77777777" w:rsidR="00C24BEB" w:rsidRPr="004A75B3" w:rsidRDefault="00C24BEB">
      <w:r w:rsidRPr="004A75B3">
        <w:separator/>
      </w:r>
    </w:p>
  </w:endnote>
  <w:endnote w:type="continuationSeparator" w:id="0">
    <w:p w14:paraId="7AEBC99F" w14:textId="77777777" w:rsidR="00C24BEB" w:rsidRPr="004A75B3" w:rsidRDefault="00C24BEB">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FB044" w14:textId="77777777" w:rsidR="00C24BEB" w:rsidRPr="004A75B3" w:rsidRDefault="00C24BEB">
      <w:r w:rsidRPr="004A75B3">
        <w:separator/>
      </w:r>
    </w:p>
  </w:footnote>
  <w:footnote w:type="continuationSeparator" w:id="0">
    <w:p w14:paraId="35C2F798" w14:textId="77777777" w:rsidR="00C24BEB" w:rsidRPr="004A75B3" w:rsidRDefault="00C24BEB">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2D46FD"/>
    <w:multiLevelType w:val="hybridMultilevel"/>
    <w:tmpl w:val="1C10185C"/>
    <w:lvl w:ilvl="0" w:tplc="AA0AB35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F1A7B3D"/>
    <w:multiLevelType w:val="hybridMultilevel"/>
    <w:tmpl w:val="3FAE4088"/>
    <w:lvl w:ilvl="0" w:tplc="8B3ABC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9BF63E2"/>
    <w:multiLevelType w:val="hybridMultilevel"/>
    <w:tmpl w:val="7870F7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4B826C2F"/>
    <w:multiLevelType w:val="multilevel"/>
    <w:tmpl w:val="46466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EE17FD"/>
    <w:multiLevelType w:val="multilevel"/>
    <w:tmpl w:val="0740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B2970"/>
    <w:multiLevelType w:val="multilevel"/>
    <w:tmpl w:val="D1C2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4E4838"/>
    <w:multiLevelType w:val="hybridMultilevel"/>
    <w:tmpl w:val="A1943EE2"/>
    <w:lvl w:ilvl="0" w:tplc="93C0AD0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2"/>
  </w:num>
  <w:num w:numId="3" w16cid:durableId="1783959838">
    <w:abstractNumId w:val="20"/>
  </w:num>
  <w:num w:numId="4" w16cid:durableId="1275408335">
    <w:abstractNumId w:val="10"/>
  </w:num>
  <w:num w:numId="5" w16cid:durableId="327445576">
    <w:abstractNumId w:val="5"/>
  </w:num>
  <w:num w:numId="6" w16cid:durableId="2138449556">
    <w:abstractNumId w:val="7"/>
  </w:num>
  <w:num w:numId="7" w16cid:durableId="641039509">
    <w:abstractNumId w:val="14"/>
  </w:num>
  <w:num w:numId="8" w16cid:durableId="1712268008">
    <w:abstractNumId w:val="3"/>
  </w:num>
  <w:num w:numId="9" w16cid:durableId="265504973">
    <w:abstractNumId w:val="18"/>
  </w:num>
  <w:num w:numId="10" w16cid:durableId="1285961743">
    <w:abstractNumId w:val="19"/>
  </w:num>
  <w:num w:numId="11" w16cid:durableId="2056656319">
    <w:abstractNumId w:val="1"/>
  </w:num>
  <w:num w:numId="12" w16cid:durableId="1513103515">
    <w:abstractNumId w:val="0"/>
  </w:num>
  <w:num w:numId="13" w16cid:durableId="27923694">
    <w:abstractNumId w:val="13"/>
  </w:num>
  <w:num w:numId="14" w16cid:durableId="1905413500">
    <w:abstractNumId w:val="11"/>
  </w:num>
  <w:num w:numId="15" w16cid:durableId="20997095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8133948">
    <w:abstractNumId w:val="6"/>
  </w:num>
  <w:num w:numId="17" w16cid:durableId="280184261">
    <w:abstractNumId w:val="17"/>
  </w:num>
  <w:num w:numId="18" w16cid:durableId="1149901345">
    <w:abstractNumId w:val="4"/>
  </w:num>
  <w:num w:numId="19" w16cid:durableId="618268683">
    <w:abstractNumId w:val="15"/>
  </w:num>
  <w:num w:numId="20" w16cid:durableId="1303268769">
    <w:abstractNumId w:val="9"/>
  </w:num>
  <w:num w:numId="21" w16cid:durableId="17300373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3602"/>
    <w:rsid w:val="000245E6"/>
    <w:rsid w:val="00025795"/>
    <w:rsid w:val="00030969"/>
    <w:rsid w:val="00037D8D"/>
    <w:rsid w:val="00040016"/>
    <w:rsid w:val="00040318"/>
    <w:rsid w:val="00042405"/>
    <w:rsid w:val="00042661"/>
    <w:rsid w:val="0004326F"/>
    <w:rsid w:val="00047B39"/>
    <w:rsid w:val="00054382"/>
    <w:rsid w:val="000569C8"/>
    <w:rsid w:val="00061B99"/>
    <w:rsid w:val="000639E0"/>
    <w:rsid w:val="000672F7"/>
    <w:rsid w:val="000707D3"/>
    <w:rsid w:val="0007089D"/>
    <w:rsid w:val="00070E00"/>
    <w:rsid w:val="000744E4"/>
    <w:rsid w:val="00075E35"/>
    <w:rsid w:val="00081308"/>
    <w:rsid w:val="00086BA0"/>
    <w:rsid w:val="000919D3"/>
    <w:rsid w:val="000A161C"/>
    <w:rsid w:val="000A5607"/>
    <w:rsid w:val="000B17CA"/>
    <w:rsid w:val="000B19EF"/>
    <w:rsid w:val="000B7A87"/>
    <w:rsid w:val="000C0762"/>
    <w:rsid w:val="000C3534"/>
    <w:rsid w:val="000C4794"/>
    <w:rsid w:val="000C73A8"/>
    <w:rsid w:val="000C7B8D"/>
    <w:rsid w:val="000D0B7B"/>
    <w:rsid w:val="000D22DB"/>
    <w:rsid w:val="000D4411"/>
    <w:rsid w:val="000D769F"/>
    <w:rsid w:val="000E12EC"/>
    <w:rsid w:val="000E3885"/>
    <w:rsid w:val="000E7CAF"/>
    <w:rsid w:val="000F7E2E"/>
    <w:rsid w:val="0010004D"/>
    <w:rsid w:val="00100515"/>
    <w:rsid w:val="00104985"/>
    <w:rsid w:val="00104DB1"/>
    <w:rsid w:val="00104F3F"/>
    <w:rsid w:val="0010526B"/>
    <w:rsid w:val="0010708D"/>
    <w:rsid w:val="001075E9"/>
    <w:rsid w:val="001118D4"/>
    <w:rsid w:val="00112819"/>
    <w:rsid w:val="0011338C"/>
    <w:rsid w:val="0011487E"/>
    <w:rsid w:val="001173F4"/>
    <w:rsid w:val="00117515"/>
    <w:rsid w:val="0012000C"/>
    <w:rsid w:val="00122683"/>
    <w:rsid w:val="001231A1"/>
    <w:rsid w:val="00123663"/>
    <w:rsid w:val="001254CC"/>
    <w:rsid w:val="00125FEB"/>
    <w:rsid w:val="00150117"/>
    <w:rsid w:val="00150546"/>
    <w:rsid w:val="001545B7"/>
    <w:rsid w:val="001605E2"/>
    <w:rsid w:val="00161EC7"/>
    <w:rsid w:val="00163220"/>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B6783"/>
    <w:rsid w:val="001B74D8"/>
    <w:rsid w:val="001C3B01"/>
    <w:rsid w:val="001C3BA3"/>
    <w:rsid w:val="001D0736"/>
    <w:rsid w:val="001D17AB"/>
    <w:rsid w:val="001D2260"/>
    <w:rsid w:val="001D41CA"/>
    <w:rsid w:val="001D4D61"/>
    <w:rsid w:val="001D7B31"/>
    <w:rsid w:val="001E13C6"/>
    <w:rsid w:val="001E2F0A"/>
    <w:rsid w:val="001E32CD"/>
    <w:rsid w:val="001E62A6"/>
    <w:rsid w:val="001E726E"/>
    <w:rsid w:val="001E75B1"/>
    <w:rsid w:val="001F2297"/>
    <w:rsid w:val="001F299E"/>
    <w:rsid w:val="001F591E"/>
    <w:rsid w:val="001F6009"/>
    <w:rsid w:val="00202069"/>
    <w:rsid w:val="00210EAD"/>
    <w:rsid w:val="00211C1E"/>
    <w:rsid w:val="00213E01"/>
    <w:rsid w:val="00215CE0"/>
    <w:rsid w:val="0021602B"/>
    <w:rsid w:val="00216397"/>
    <w:rsid w:val="002169AA"/>
    <w:rsid w:val="002216E0"/>
    <w:rsid w:val="002229FD"/>
    <w:rsid w:val="002278A5"/>
    <w:rsid w:val="0023496A"/>
    <w:rsid w:val="00236492"/>
    <w:rsid w:val="00237BAA"/>
    <w:rsid w:val="002403CA"/>
    <w:rsid w:val="002421F6"/>
    <w:rsid w:val="00250754"/>
    <w:rsid w:val="00250D60"/>
    <w:rsid w:val="002527A1"/>
    <w:rsid w:val="00253ABF"/>
    <w:rsid w:val="002551E6"/>
    <w:rsid w:val="00255C48"/>
    <w:rsid w:val="00263B95"/>
    <w:rsid w:val="00266F1C"/>
    <w:rsid w:val="0026786D"/>
    <w:rsid w:val="00276F8C"/>
    <w:rsid w:val="002801A4"/>
    <w:rsid w:val="00280633"/>
    <w:rsid w:val="00281D8F"/>
    <w:rsid w:val="00286A07"/>
    <w:rsid w:val="002870C0"/>
    <w:rsid w:val="00287730"/>
    <w:rsid w:val="0028778B"/>
    <w:rsid w:val="00290A77"/>
    <w:rsid w:val="00291C42"/>
    <w:rsid w:val="00292070"/>
    <w:rsid w:val="00293CCA"/>
    <w:rsid w:val="0029799D"/>
    <w:rsid w:val="002A0CA0"/>
    <w:rsid w:val="002A7594"/>
    <w:rsid w:val="002B022B"/>
    <w:rsid w:val="002B1DC1"/>
    <w:rsid w:val="002B2A94"/>
    <w:rsid w:val="002B3AF7"/>
    <w:rsid w:val="002B5AD4"/>
    <w:rsid w:val="002B7263"/>
    <w:rsid w:val="002B749E"/>
    <w:rsid w:val="002C04A1"/>
    <w:rsid w:val="002C191F"/>
    <w:rsid w:val="002C3700"/>
    <w:rsid w:val="002C6E1A"/>
    <w:rsid w:val="002D03A3"/>
    <w:rsid w:val="002E181F"/>
    <w:rsid w:val="002E5ADD"/>
    <w:rsid w:val="002E645C"/>
    <w:rsid w:val="002E75F7"/>
    <w:rsid w:val="002E78FA"/>
    <w:rsid w:val="002F2B58"/>
    <w:rsid w:val="00302D56"/>
    <w:rsid w:val="00306951"/>
    <w:rsid w:val="00306E0B"/>
    <w:rsid w:val="00307923"/>
    <w:rsid w:val="00307A2D"/>
    <w:rsid w:val="003115C4"/>
    <w:rsid w:val="0031289F"/>
    <w:rsid w:val="0031523E"/>
    <w:rsid w:val="003165C2"/>
    <w:rsid w:val="00331B82"/>
    <w:rsid w:val="003331D0"/>
    <w:rsid w:val="00337807"/>
    <w:rsid w:val="0034229E"/>
    <w:rsid w:val="003427DA"/>
    <w:rsid w:val="0034750B"/>
    <w:rsid w:val="003538EE"/>
    <w:rsid w:val="003570C4"/>
    <w:rsid w:val="003579EF"/>
    <w:rsid w:val="003602DE"/>
    <w:rsid w:val="00360FA3"/>
    <w:rsid w:val="00361B9C"/>
    <w:rsid w:val="00363CCA"/>
    <w:rsid w:val="00367FC3"/>
    <w:rsid w:val="00374A2E"/>
    <w:rsid w:val="00377085"/>
    <w:rsid w:val="00380030"/>
    <w:rsid w:val="00381E68"/>
    <w:rsid w:val="003848FF"/>
    <w:rsid w:val="003850F6"/>
    <w:rsid w:val="00392D76"/>
    <w:rsid w:val="00394CED"/>
    <w:rsid w:val="003A1E21"/>
    <w:rsid w:val="003A4207"/>
    <w:rsid w:val="003A6212"/>
    <w:rsid w:val="003C066C"/>
    <w:rsid w:val="003C164B"/>
    <w:rsid w:val="003C39D2"/>
    <w:rsid w:val="003D4308"/>
    <w:rsid w:val="003D5E38"/>
    <w:rsid w:val="003D6E8F"/>
    <w:rsid w:val="003E1C47"/>
    <w:rsid w:val="003F0FF1"/>
    <w:rsid w:val="003F199F"/>
    <w:rsid w:val="003F6345"/>
    <w:rsid w:val="003F7C70"/>
    <w:rsid w:val="0040072F"/>
    <w:rsid w:val="00400B29"/>
    <w:rsid w:val="00401898"/>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5F11"/>
    <w:rsid w:val="004668D1"/>
    <w:rsid w:val="00467E04"/>
    <w:rsid w:val="00472A16"/>
    <w:rsid w:val="00474302"/>
    <w:rsid w:val="00476A98"/>
    <w:rsid w:val="00477779"/>
    <w:rsid w:val="0048022E"/>
    <w:rsid w:val="004813BA"/>
    <w:rsid w:val="0048295C"/>
    <w:rsid w:val="00486EA2"/>
    <w:rsid w:val="004873EB"/>
    <w:rsid w:val="004906BE"/>
    <w:rsid w:val="00491E1C"/>
    <w:rsid w:val="00492F06"/>
    <w:rsid w:val="00493193"/>
    <w:rsid w:val="004944D2"/>
    <w:rsid w:val="0049623A"/>
    <w:rsid w:val="00496949"/>
    <w:rsid w:val="00497052"/>
    <w:rsid w:val="004A20A6"/>
    <w:rsid w:val="004A5696"/>
    <w:rsid w:val="004A56F5"/>
    <w:rsid w:val="004A709F"/>
    <w:rsid w:val="004A75B3"/>
    <w:rsid w:val="004A7A42"/>
    <w:rsid w:val="004B2B66"/>
    <w:rsid w:val="004B5CF0"/>
    <w:rsid w:val="004B5F10"/>
    <w:rsid w:val="004C45C9"/>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588"/>
    <w:rsid w:val="005413C8"/>
    <w:rsid w:val="00541F82"/>
    <w:rsid w:val="00542109"/>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76876"/>
    <w:rsid w:val="00583E8C"/>
    <w:rsid w:val="005845B9"/>
    <w:rsid w:val="005853B1"/>
    <w:rsid w:val="00586416"/>
    <w:rsid w:val="00586CAF"/>
    <w:rsid w:val="00590721"/>
    <w:rsid w:val="0059074F"/>
    <w:rsid w:val="00590E61"/>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68FF"/>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61974"/>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F9B"/>
    <w:rsid w:val="006A7FBF"/>
    <w:rsid w:val="006B20AC"/>
    <w:rsid w:val="006B27AA"/>
    <w:rsid w:val="006B3988"/>
    <w:rsid w:val="006B3C65"/>
    <w:rsid w:val="006B72A5"/>
    <w:rsid w:val="006C4DDF"/>
    <w:rsid w:val="006C5A62"/>
    <w:rsid w:val="006D0793"/>
    <w:rsid w:val="006D14A4"/>
    <w:rsid w:val="006D448A"/>
    <w:rsid w:val="006D4FE6"/>
    <w:rsid w:val="006E1711"/>
    <w:rsid w:val="006E27C9"/>
    <w:rsid w:val="006E2970"/>
    <w:rsid w:val="006E2C0A"/>
    <w:rsid w:val="006E48EC"/>
    <w:rsid w:val="006E6C3C"/>
    <w:rsid w:val="006E721C"/>
    <w:rsid w:val="006F01C1"/>
    <w:rsid w:val="006F6F2A"/>
    <w:rsid w:val="00703EFC"/>
    <w:rsid w:val="00706226"/>
    <w:rsid w:val="0071347D"/>
    <w:rsid w:val="0071424B"/>
    <w:rsid w:val="00715F5C"/>
    <w:rsid w:val="00721A13"/>
    <w:rsid w:val="0072210C"/>
    <w:rsid w:val="007242E3"/>
    <w:rsid w:val="007269FE"/>
    <w:rsid w:val="007309D1"/>
    <w:rsid w:val="00731531"/>
    <w:rsid w:val="00744479"/>
    <w:rsid w:val="00747573"/>
    <w:rsid w:val="00751156"/>
    <w:rsid w:val="00757FE9"/>
    <w:rsid w:val="0076219C"/>
    <w:rsid w:val="00764826"/>
    <w:rsid w:val="007652F2"/>
    <w:rsid w:val="00770219"/>
    <w:rsid w:val="00771BF7"/>
    <w:rsid w:val="00774980"/>
    <w:rsid w:val="0077726F"/>
    <w:rsid w:val="00785231"/>
    <w:rsid w:val="00785351"/>
    <w:rsid w:val="00785654"/>
    <w:rsid w:val="00787485"/>
    <w:rsid w:val="00790863"/>
    <w:rsid w:val="00794768"/>
    <w:rsid w:val="00795068"/>
    <w:rsid w:val="007A2E4B"/>
    <w:rsid w:val="007A4073"/>
    <w:rsid w:val="007A6B5C"/>
    <w:rsid w:val="007B0E45"/>
    <w:rsid w:val="007B206C"/>
    <w:rsid w:val="007B30BB"/>
    <w:rsid w:val="007B6F84"/>
    <w:rsid w:val="007C7D2A"/>
    <w:rsid w:val="007D005B"/>
    <w:rsid w:val="007D39F5"/>
    <w:rsid w:val="007D3F79"/>
    <w:rsid w:val="007E6B59"/>
    <w:rsid w:val="007E6E6E"/>
    <w:rsid w:val="007F144D"/>
    <w:rsid w:val="007F1A73"/>
    <w:rsid w:val="007F1FE7"/>
    <w:rsid w:val="007F2C86"/>
    <w:rsid w:val="007F33E1"/>
    <w:rsid w:val="007F43ED"/>
    <w:rsid w:val="007F4F2E"/>
    <w:rsid w:val="007F687E"/>
    <w:rsid w:val="008003DD"/>
    <w:rsid w:val="0080047D"/>
    <w:rsid w:val="008028F8"/>
    <w:rsid w:val="00811501"/>
    <w:rsid w:val="00812D68"/>
    <w:rsid w:val="008164CE"/>
    <w:rsid w:val="008216CF"/>
    <w:rsid w:val="00825E4B"/>
    <w:rsid w:val="00826CBD"/>
    <w:rsid w:val="00830E86"/>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0B41"/>
    <w:rsid w:val="008E38E2"/>
    <w:rsid w:val="008E6163"/>
    <w:rsid w:val="008F355D"/>
    <w:rsid w:val="00901757"/>
    <w:rsid w:val="009021B1"/>
    <w:rsid w:val="00905F80"/>
    <w:rsid w:val="009104AB"/>
    <w:rsid w:val="009106DB"/>
    <w:rsid w:val="0092768E"/>
    <w:rsid w:val="009312C2"/>
    <w:rsid w:val="00931876"/>
    <w:rsid w:val="00935D9B"/>
    <w:rsid w:val="009371C5"/>
    <w:rsid w:val="00937388"/>
    <w:rsid w:val="00942E14"/>
    <w:rsid w:val="009528CA"/>
    <w:rsid w:val="009601A4"/>
    <w:rsid w:val="00960A1A"/>
    <w:rsid w:val="00962EA6"/>
    <w:rsid w:val="0096445C"/>
    <w:rsid w:val="00971E74"/>
    <w:rsid w:val="00972ECF"/>
    <w:rsid w:val="00974FAF"/>
    <w:rsid w:val="00975514"/>
    <w:rsid w:val="009804FC"/>
    <w:rsid w:val="00980EF9"/>
    <w:rsid w:val="009850C0"/>
    <w:rsid w:val="00987B21"/>
    <w:rsid w:val="00991171"/>
    <w:rsid w:val="00991DE8"/>
    <w:rsid w:val="0099474D"/>
    <w:rsid w:val="00995E04"/>
    <w:rsid w:val="00995FD2"/>
    <w:rsid w:val="009A346C"/>
    <w:rsid w:val="009C312B"/>
    <w:rsid w:val="009C7171"/>
    <w:rsid w:val="009C77D7"/>
    <w:rsid w:val="009D0AF4"/>
    <w:rsid w:val="009D217D"/>
    <w:rsid w:val="009D513B"/>
    <w:rsid w:val="009E50EF"/>
    <w:rsid w:val="009E51E3"/>
    <w:rsid w:val="009F0151"/>
    <w:rsid w:val="009F5BCC"/>
    <w:rsid w:val="00A01346"/>
    <w:rsid w:val="00A02459"/>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7003"/>
    <w:rsid w:val="00A8167E"/>
    <w:rsid w:val="00A8466C"/>
    <w:rsid w:val="00A864CD"/>
    <w:rsid w:val="00A865C7"/>
    <w:rsid w:val="00A87436"/>
    <w:rsid w:val="00A946C7"/>
    <w:rsid w:val="00A9510F"/>
    <w:rsid w:val="00A9581B"/>
    <w:rsid w:val="00A97A7C"/>
    <w:rsid w:val="00AA0B84"/>
    <w:rsid w:val="00AA1E8F"/>
    <w:rsid w:val="00AA3A22"/>
    <w:rsid w:val="00AA4E67"/>
    <w:rsid w:val="00AA7176"/>
    <w:rsid w:val="00AB2C9D"/>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44FC"/>
    <w:rsid w:val="00B067B4"/>
    <w:rsid w:val="00B11AF6"/>
    <w:rsid w:val="00B17698"/>
    <w:rsid w:val="00B177F7"/>
    <w:rsid w:val="00B211E7"/>
    <w:rsid w:val="00B26A31"/>
    <w:rsid w:val="00B2757E"/>
    <w:rsid w:val="00B312B8"/>
    <w:rsid w:val="00B32A50"/>
    <w:rsid w:val="00B3314B"/>
    <w:rsid w:val="00B33448"/>
    <w:rsid w:val="00B36BCB"/>
    <w:rsid w:val="00B40AFD"/>
    <w:rsid w:val="00B40F09"/>
    <w:rsid w:val="00B43CEB"/>
    <w:rsid w:val="00B50224"/>
    <w:rsid w:val="00B54B18"/>
    <w:rsid w:val="00B61C01"/>
    <w:rsid w:val="00B63D1F"/>
    <w:rsid w:val="00B65DE7"/>
    <w:rsid w:val="00B664F9"/>
    <w:rsid w:val="00B672CF"/>
    <w:rsid w:val="00B70F41"/>
    <w:rsid w:val="00B75CEE"/>
    <w:rsid w:val="00B762E8"/>
    <w:rsid w:val="00B76653"/>
    <w:rsid w:val="00B7724A"/>
    <w:rsid w:val="00B8013E"/>
    <w:rsid w:val="00B82EB7"/>
    <w:rsid w:val="00B83D3F"/>
    <w:rsid w:val="00B84859"/>
    <w:rsid w:val="00B85015"/>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12B1"/>
    <w:rsid w:val="00BD2BBA"/>
    <w:rsid w:val="00BD35B2"/>
    <w:rsid w:val="00BD6934"/>
    <w:rsid w:val="00BE10E4"/>
    <w:rsid w:val="00BE3D84"/>
    <w:rsid w:val="00BF3DDD"/>
    <w:rsid w:val="00BF3E45"/>
    <w:rsid w:val="00BF4FEE"/>
    <w:rsid w:val="00BF622D"/>
    <w:rsid w:val="00BF6CFF"/>
    <w:rsid w:val="00BF73BD"/>
    <w:rsid w:val="00C022C7"/>
    <w:rsid w:val="00C0580B"/>
    <w:rsid w:val="00C119BB"/>
    <w:rsid w:val="00C11E69"/>
    <w:rsid w:val="00C12352"/>
    <w:rsid w:val="00C24BEB"/>
    <w:rsid w:val="00C33F8F"/>
    <w:rsid w:val="00C36691"/>
    <w:rsid w:val="00C37BA5"/>
    <w:rsid w:val="00C41393"/>
    <w:rsid w:val="00C45DB5"/>
    <w:rsid w:val="00C53B7D"/>
    <w:rsid w:val="00C552E5"/>
    <w:rsid w:val="00C5631E"/>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17CA"/>
    <w:rsid w:val="00C93FCD"/>
    <w:rsid w:val="00C94C8F"/>
    <w:rsid w:val="00C958E4"/>
    <w:rsid w:val="00C96ADA"/>
    <w:rsid w:val="00C97339"/>
    <w:rsid w:val="00CA1269"/>
    <w:rsid w:val="00CA48C9"/>
    <w:rsid w:val="00CB0970"/>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F48DA"/>
    <w:rsid w:val="00CF7013"/>
    <w:rsid w:val="00CF7421"/>
    <w:rsid w:val="00D027C2"/>
    <w:rsid w:val="00D052A1"/>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7D52"/>
    <w:rsid w:val="00DD2B65"/>
    <w:rsid w:val="00DE2D03"/>
    <w:rsid w:val="00DE3ABB"/>
    <w:rsid w:val="00DE694B"/>
    <w:rsid w:val="00DF44A3"/>
    <w:rsid w:val="00DF56F9"/>
    <w:rsid w:val="00DF7D35"/>
    <w:rsid w:val="00E01908"/>
    <w:rsid w:val="00E024F6"/>
    <w:rsid w:val="00E04020"/>
    <w:rsid w:val="00E06086"/>
    <w:rsid w:val="00E06EDB"/>
    <w:rsid w:val="00E122B6"/>
    <w:rsid w:val="00E12643"/>
    <w:rsid w:val="00E17685"/>
    <w:rsid w:val="00E301FE"/>
    <w:rsid w:val="00E318EB"/>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2240"/>
    <w:rsid w:val="00EA4811"/>
    <w:rsid w:val="00EA53DB"/>
    <w:rsid w:val="00EA751E"/>
    <w:rsid w:val="00EB40FA"/>
    <w:rsid w:val="00EB6F47"/>
    <w:rsid w:val="00EC0BEE"/>
    <w:rsid w:val="00EC29DE"/>
    <w:rsid w:val="00EC38D6"/>
    <w:rsid w:val="00EC73A3"/>
    <w:rsid w:val="00ED20B2"/>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6A31"/>
    <w:rsid w:val="00F40424"/>
    <w:rsid w:val="00F42218"/>
    <w:rsid w:val="00F4249A"/>
    <w:rsid w:val="00F44332"/>
    <w:rsid w:val="00F46361"/>
    <w:rsid w:val="00F4669A"/>
    <w:rsid w:val="00F468F8"/>
    <w:rsid w:val="00F46BB1"/>
    <w:rsid w:val="00F5693C"/>
    <w:rsid w:val="00F63DFF"/>
    <w:rsid w:val="00F6400D"/>
    <w:rsid w:val="00F651D8"/>
    <w:rsid w:val="00F65D71"/>
    <w:rsid w:val="00F71D8C"/>
    <w:rsid w:val="00F7322D"/>
    <w:rsid w:val="00F75DD8"/>
    <w:rsid w:val="00F8053B"/>
    <w:rsid w:val="00F807EB"/>
    <w:rsid w:val="00F80D07"/>
    <w:rsid w:val="00F87CFC"/>
    <w:rsid w:val="00F9285F"/>
    <w:rsid w:val="00F93A82"/>
    <w:rsid w:val="00F95514"/>
    <w:rsid w:val="00FA3B0B"/>
    <w:rsid w:val="00FA4D14"/>
    <w:rsid w:val="00FB2E89"/>
    <w:rsid w:val="00FB6BD2"/>
    <w:rsid w:val="00FB76BD"/>
    <w:rsid w:val="00FB7D09"/>
    <w:rsid w:val="00FC2851"/>
    <w:rsid w:val="00FC50AC"/>
    <w:rsid w:val="00FC70A3"/>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2421F6"/>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eastAsia="Times New Roman"/>
      <w:szCs w:val="20"/>
      <w:bdr w:val="none" w:sz="0" w:space="0" w:color="auto"/>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2421F6"/>
    <w:rPr>
      <w:rFonts w:eastAsia="Times New Roman"/>
      <w:sz w:val="24"/>
      <w:bdr w:val="none" w:sz="0" w:space="0" w:color="auto"/>
      <w:lang w:eastAsia="en-US"/>
    </w:rPr>
  </w:style>
  <w:style w:type="paragraph" w:styleId="NoSpacing">
    <w:name w:val="No Spacing"/>
    <w:uiPriority w:val="1"/>
    <w:qFormat/>
    <w:rsid w:val="00F63DF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 w:type="character" w:styleId="Strong">
    <w:name w:val="Strong"/>
    <w:basedOn w:val="DefaultParagraphFont"/>
    <w:uiPriority w:val="22"/>
    <w:qFormat/>
    <w:rsid w:val="00B36BCB"/>
    <w:rPr>
      <w:b/>
      <w:bCs/>
    </w:rPr>
  </w:style>
  <w:style w:type="character" w:styleId="Emphasis">
    <w:name w:val="Emphasis"/>
    <w:basedOn w:val="DefaultParagraphFont"/>
    <w:uiPriority w:val="20"/>
    <w:qFormat/>
    <w:rsid w:val="00B36B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2.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3.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Pages>
  <Words>2438</Words>
  <Characters>1390</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180</cp:revision>
  <dcterms:created xsi:type="dcterms:W3CDTF">2024-10-30T08:43:00Z</dcterms:created>
  <dcterms:modified xsi:type="dcterms:W3CDTF">2025-11-11T06:58:00Z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