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108A7931" w14:textId="05EA71EE" w:rsidR="00242EEC" w:rsidRPr="00C10CA3" w:rsidRDefault="00DB63D3" w:rsidP="00AD2B5C">
          <w:pPr>
            <w:ind w:left="-567"/>
            <w:jc w:val="center"/>
            <w:rPr>
              <w:rFonts w:ascii="Times New Roman" w:hAnsi="Times New Roman" w:cs="Times New Roman"/>
              <w:b/>
              <w:bCs/>
              <w:sz w:val="22"/>
              <w:szCs w:val="22"/>
            </w:rPr>
          </w:pPr>
          <w:r w:rsidRPr="00C10CA3">
            <w:rPr>
              <w:rFonts w:ascii="Times New Roman" w:hAnsi="Times New Roman" w:cs="Times New Roman"/>
              <w:b/>
              <w:bCs/>
              <w:sz w:val="22"/>
              <w:szCs w:val="22"/>
            </w:rPr>
            <w:t>NAUJŲ M3 KLASĖS TOLIMOJO SUSISIEKIMO AUTOBUSŲ</w:t>
          </w:r>
        </w:p>
        <w:p w14:paraId="3185D41F" w14:textId="77777777" w:rsidR="00242EEC" w:rsidRPr="00C10CA3" w:rsidRDefault="00242EEC" w:rsidP="00AD2B5C">
          <w:pPr>
            <w:ind w:left="-567"/>
            <w:jc w:val="center"/>
            <w:rPr>
              <w:rFonts w:ascii="Times New Roman" w:hAnsi="Times New Roman" w:cs="Times New Roman"/>
              <w:b/>
              <w:bCs/>
              <w:sz w:val="22"/>
              <w:szCs w:val="22"/>
            </w:rPr>
          </w:pPr>
          <w:r w:rsidRPr="00C10CA3">
            <w:rPr>
              <w:rFonts w:ascii="Times New Roman" w:hAnsi="Times New Roman" w:cs="Times New Roman"/>
              <w:b/>
              <w:bCs/>
              <w:sz w:val="22"/>
              <w:szCs w:val="22"/>
            </w:rPr>
            <w:t xml:space="preserve">TARPTAUTINIO VIEŠOJO PIRKIMO </w:t>
          </w:r>
        </w:p>
        <w:p w14:paraId="05EABC66" w14:textId="7874BD0F" w:rsidR="00184B8C" w:rsidRPr="00C10CA3" w:rsidRDefault="002A1A3A" w:rsidP="00AD2B5C">
          <w:pPr>
            <w:ind w:left="-567"/>
            <w:jc w:val="center"/>
            <w:rPr>
              <w:rFonts w:ascii="Times New Roman" w:hAnsi="Times New Roman" w:cs="Times New Roman"/>
              <w:b/>
              <w:bCs/>
              <w:sz w:val="22"/>
              <w:szCs w:val="22"/>
            </w:rPr>
          </w:pPr>
          <w:r w:rsidRPr="00C10CA3">
            <w:rPr>
              <w:rFonts w:ascii="Times New Roman" w:hAnsi="Times New Roman" w:cs="Times New Roman"/>
              <w:b/>
              <w:bCs/>
              <w:sz w:val="22"/>
              <w:szCs w:val="22"/>
            </w:rPr>
            <w:t>ATVIRO KONKURSO 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C10CA3" w:rsidRDefault="00BF7600" w:rsidP="00AD2B5C">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C10CA3">
            <w:rPr>
              <w:rFonts w:ascii="Times New Roman" w:hAnsi="Times New Roman" w:cs="Times New Roman"/>
              <w:b/>
              <w:bCs/>
              <w:color w:val="auto"/>
              <w:sz w:val="22"/>
              <w:szCs w:val="22"/>
              <w:lang w:val="lt-LT"/>
            </w:rPr>
            <w:t>TURINYS</w:t>
          </w:r>
        </w:p>
        <w:p w14:paraId="79141239" w14:textId="60215EB2" w:rsidR="00B47B9A" w:rsidRPr="00DC5E25" w:rsidRDefault="00FE2F38" w:rsidP="00805C8B">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DC5E25">
              <w:rPr>
                <w:rStyle w:val="Hipersaitas"/>
                <w:rFonts w:ascii="Times New Roman" w:hAnsi="Times New Roman" w:cs="Times New Roman"/>
                <w:b w:val="0"/>
                <w:bCs w:val="0"/>
                <w:sz w:val="22"/>
                <w:szCs w:val="22"/>
              </w:rPr>
              <w:t>1.</w:t>
            </w:r>
            <w:r w:rsidR="00873761" w:rsidRPr="00DC5E25">
              <w:rPr>
                <w:rFonts w:ascii="Times New Roman" w:eastAsiaTheme="minorEastAsia" w:hAnsi="Times New Roman" w:cs="Times New Roman"/>
                <w:b w:val="0"/>
                <w:bCs w:val="0"/>
                <w:sz w:val="22"/>
                <w:szCs w:val="22"/>
                <w:lang w:val="en-US"/>
              </w:rPr>
              <w:t xml:space="preserve"> </w:t>
            </w:r>
            <w:r w:rsidR="00B47B9A" w:rsidRPr="00DC5E25">
              <w:rPr>
                <w:rStyle w:val="Hipersaitas"/>
                <w:rFonts w:ascii="Times New Roman" w:hAnsi="Times New Roman" w:cs="Times New Roman"/>
                <w:b w:val="0"/>
                <w:bCs w:val="0"/>
                <w:sz w:val="22"/>
                <w:szCs w:val="22"/>
              </w:rPr>
              <w:t>Sąvokos ir sutrumpinimai</w:t>
            </w:r>
            <w:r w:rsidR="00B47B9A" w:rsidRPr="00DC5E25">
              <w:rPr>
                <w:rFonts w:ascii="Times New Roman" w:hAnsi="Times New Roman" w:cs="Times New Roman"/>
                <w:b w:val="0"/>
                <w:bCs w:val="0"/>
                <w:webHidden/>
                <w:sz w:val="22"/>
                <w:szCs w:val="22"/>
              </w:rPr>
              <w:tab/>
            </w:r>
            <w:r w:rsidR="00B47B9A" w:rsidRPr="00DC5E25">
              <w:rPr>
                <w:rFonts w:ascii="Times New Roman" w:hAnsi="Times New Roman" w:cs="Times New Roman"/>
                <w:b w:val="0"/>
                <w:bCs w:val="0"/>
                <w:webHidden/>
                <w:sz w:val="22"/>
                <w:szCs w:val="22"/>
              </w:rPr>
              <w:fldChar w:fldCharType="begin"/>
            </w:r>
            <w:r w:rsidR="00B47B9A" w:rsidRPr="00DC5E25">
              <w:rPr>
                <w:rFonts w:ascii="Times New Roman" w:hAnsi="Times New Roman" w:cs="Times New Roman"/>
                <w:b w:val="0"/>
                <w:bCs w:val="0"/>
                <w:webHidden/>
                <w:sz w:val="22"/>
                <w:szCs w:val="22"/>
              </w:rPr>
              <w:instrText xml:space="preserve"> PAGEREF _Toc126263048 \h </w:instrText>
            </w:r>
            <w:r w:rsidR="00B47B9A" w:rsidRPr="00DC5E25">
              <w:rPr>
                <w:rFonts w:ascii="Times New Roman" w:hAnsi="Times New Roman" w:cs="Times New Roman"/>
                <w:b w:val="0"/>
                <w:bCs w:val="0"/>
                <w:webHidden/>
                <w:sz w:val="22"/>
                <w:szCs w:val="22"/>
              </w:rPr>
            </w:r>
            <w:r w:rsidR="00B47B9A"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w:t>
            </w:r>
            <w:r w:rsidR="00B47B9A" w:rsidRPr="00DC5E25">
              <w:rPr>
                <w:rFonts w:ascii="Times New Roman" w:hAnsi="Times New Roman" w:cs="Times New Roman"/>
                <w:b w:val="0"/>
                <w:bCs w:val="0"/>
                <w:webHidden/>
                <w:sz w:val="22"/>
                <w:szCs w:val="22"/>
              </w:rPr>
              <w:fldChar w:fldCharType="end"/>
            </w:r>
          </w:hyperlink>
        </w:p>
        <w:p w14:paraId="120C0C12" w14:textId="193FD144"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DC5E25">
              <w:rPr>
                <w:rStyle w:val="Hipersaitas"/>
                <w:rFonts w:ascii="Times New Roman" w:hAnsi="Times New Roman" w:cs="Times New Roman"/>
                <w:b w:val="0"/>
                <w:bCs w:val="0"/>
                <w:sz w:val="22"/>
                <w:szCs w:val="22"/>
              </w:rPr>
              <w:t>2.</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Bendrosios nuostatos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_Toc126263049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2</w:t>
            </w:r>
            <w:r w:rsidRPr="00DC5E25">
              <w:rPr>
                <w:rFonts w:ascii="Times New Roman" w:hAnsi="Times New Roman" w:cs="Times New Roman"/>
                <w:b w:val="0"/>
                <w:bCs w:val="0"/>
                <w:webHidden/>
                <w:sz w:val="22"/>
                <w:szCs w:val="22"/>
              </w:rPr>
              <w:fldChar w:fldCharType="end"/>
            </w:r>
          </w:hyperlink>
        </w:p>
        <w:p w14:paraId="7337CFA6" w14:textId="38009F3F"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DC5E25">
              <w:rPr>
                <w:rStyle w:val="Hipersaitas"/>
                <w:rFonts w:ascii="Times New Roman" w:hAnsi="Times New Roman" w:cs="Times New Roman"/>
                <w:b w:val="0"/>
                <w:bCs w:val="0"/>
                <w:sz w:val="22"/>
                <w:szCs w:val="22"/>
              </w:rPr>
              <w:t>3.</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Pirkimo objektas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_Toc126263050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3</w:t>
            </w:r>
            <w:r w:rsidRPr="00DC5E25">
              <w:rPr>
                <w:rFonts w:ascii="Times New Roman" w:hAnsi="Times New Roman" w:cs="Times New Roman"/>
                <w:b w:val="0"/>
                <w:bCs w:val="0"/>
                <w:webHidden/>
                <w:sz w:val="22"/>
                <w:szCs w:val="22"/>
              </w:rPr>
              <w:fldChar w:fldCharType="end"/>
            </w:r>
          </w:hyperlink>
        </w:p>
        <w:p w14:paraId="3F260D97" w14:textId="424FAC7E"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DC5E25">
              <w:rPr>
                <w:rStyle w:val="Hipersaitas"/>
                <w:rFonts w:ascii="Times New Roman" w:hAnsi="Times New Roman" w:cs="Times New Roman"/>
                <w:b w:val="0"/>
                <w:bCs w:val="0"/>
                <w:sz w:val="22"/>
                <w:szCs w:val="22"/>
              </w:rPr>
              <w:t>4.</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Perka</w:t>
            </w:r>
            <w:r w:rsidR="00873761" w:rsidRPr="00DC5E25">
              <w:rPr>
                <w:rStyle w:val="Hipersaitas"/>
                <w:rFonts w:ascii="Times New Roman" w:hAnsi="Times New Roman" w:cs="Times New Roman"/>
                <w:b w:val="0"/>
                <w:bCs w:val="0"/>
                <w:sz w:val="22"/>
                <w:szCs w:val="22"/>
              </w:rPr>
              <w:t>nčiojo subjekto</w:t>
            </w:r>
            <w:r w:rsidRPr="00DC5E25">
              <w:rPr>
                <w:rStyle w:val="Hipersaitas"/>
                <w:rFonts w:ascii="Times New Roman" w:hAnsi="Times New Roman" w:cs="Times New Roman"/>
                <w:b w:val="0"/>
                <w:bCs w:val="0"/>
                <w:sz w:val="22"/>
                <w:szCs w:val="22"/>
              </w:rPr>
              <w:t xml:space="preserve"> ir tiekėjų bendravimo ir keitimosi informacija priemonės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_Toc126263051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3</w:t>
            </w:r>
            <w:r w:rsidRPr="00DC5E25">
              <w:rPr>
                <w:rFonts w:ascii="Times New Roman" w:hAnsi="Times New Roman" w:cs="Times New Roman"/>
                <w:b w:val="0"/>
                <w:bCs w:val="0"/>
                <w:webHidden/>
                <w:sz w:val="22"/>
                <w:szCs w:val="22"/>
              </w:rPr>
              <w:fldChar w:fldCharType="end"/>
            </w:r>
          </w:hyperlink>
        </w:p>
        <w:p w14:paraId="31E41E1E" w14:textId="7936C198"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DC5E25">
              <w:rPr>
                <w:rStyle w:val="Hipersaitas"/>
                <w:rFonts w:ascii="Times New Roman" w:hAnsi="Times New Roman" w:cs="Times New Roman"/>
                <w:b w:val="0"/>
                <w:bCs w:val="0"/>
                <w:sz w:val="22"/>
                <w:szCs w:val="22"/>
              </w:rPr>
              <w:t>5.</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Pirkimo dokumentų paaiškinimai ir patikslinimai</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_Toc126263052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4</w:t>
            </w:r>
            <w:r w:rsidRPr="00DC5E25">
              <w:rPr>
                <w:rFonts w:ascii="Times New Roman" w:hAnsi="Times New Roman" w:cs="Times New Roman"/>
                <w:b w:val="0"/>
                <w:bCs w:val="0"/>
                <w:webHidden/>
                <w:sz w:val="22"/>
                <w:szCs w:val="22"/>
              </w:rPr>
              <w:fldChar w:fldCharType="end"/>
            </w:r>
          </w:hyperlink>
        </w:p>
        <w:p w14:paraId="17642A96" w14:textId="5CAB342E"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DC5E25">
              <w:rPr>
                <w:rStyle w:val="Hipersaitas"/>
                <w:rFonts w:ascii="Times New Roman" w:hAnsi="Times New Roman" w:cs="Times New Roman"/>
                <w:b w:val="0"/>
                <w:bCs w:val="0"/>
                <w:sz w:val="22"/>
                <w:szCs w:val="22"/>
              </w:rPr>
              <w:t>6.</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Tiekėjų pašalinimo pagrindai</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_Toc126263053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5</w:t>
            </w:r>
            <w:r w:rsidRPr="00DC5E25">
              <w:rPr>
                <w:rFonts w:ascii="Times New Roman" w:hAnsi="Times New Roman" w:cs="Times New Roman"/>
                <w:b w:val="0"/>
                <w:bCs w:val="0"/>
                <w:webHidden/>
                <w:sz w:val="22"/>
                <w:szCs w:val="22"/>
              </w:rPr>
              <w:fldChar w:fldCharType="end"/>
            </w:r>
          </w:hyperlink>
        </w:p>
        <w:p w14:paraId="78C26D1E" w14:textId="53602C3F"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DC5E25">
              <w:rPr>
                <w:rStyle w:val="Hipersaitas"/>
                <w:rFonts w:ascii="Times New Roman" w:hAnsi="Times New Roman" w:cs="Times New Roman"/>
                <w:b w:val="0"/>
                <w:bCs w:val="0"/>
                <w:sz w:val="22"/>
                <w:szCs w:val="22"/>
              </w:rPr>
              <w:t>7.</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_Toc126263054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5</w:t>
            </w:r>
            <w:r w:rsidRPr="00DC5E25">
              <w:rPr>
                <w:rFonts w:ascii="Times New Roman" w:hAnsi="Times New Roman" w:cs="Times New Roman"/>
                <w:b w:val="0"/>
                <w:bCs w:val="0"/>
                <w:webHidden/>
                <w:sz w:val="22"/>
                <w:szCs w:val="22"/>
              </w:rPr>
              <w:fldChar w:fldCharType="end"/>
            </w:r>
          </w:hyperlink>
        </w:p>
        <w:p w14:paraId="55E113AE" w14:textId="0ED4215F"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DC5E25">
              <w:rPr>
                <w:rStyle w:val="Hipersaitas"/>
                <w:rFonts w:ascii="Times New Roman" w:hAnsi="Times New Roman" w:cs="Times New Roman"/>
                <w:b w:val="0"/>
                <w:bCs w:val="0"/>
                <w:sz w:val="22"/>
                <w:szCs w:val="22"/>
              </w:rPr>
              <w:t>8.</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Rezervuota teisė dalyvauti pirkime</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_Toc126263055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5</w:t>
            </w:r>
            <w:r w:rsidRPr="00DC5E25">
              <w:rPr>
                <w:rFonts w:ascii="Times New Roman" w:hAnsi="Times New Roman" w:cs="Times New Roman"/>
                <w:b w:val="0"/>
                <w:bCs w:val="0"/>
                <w:webHidden/>
                <w:sz w:val="22"/>
                <w:szCs w:val="22"/>
              </w:rPr>
              <w:fldChar w:fldCharType="end"/>
            </w:r>
          </w:hyperlink>
        </w:p>
        <w:p w14:paraId="36BCD6C0" w14:textId="54604C12"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DC5E25">
              <w:rPr>
                <w:rStyle w:val="Hipersaitas"/>
                <w:rFonts w:ascii="Times New Roman" w:hAnsi="Times New Roman" w:cs="Times New Roman"/>
                <w:b w:val="0"/>
                <w:bCs w:val="0"/>
                <w:sz w:val="22"/>
                <w:szCs w:val="22"/>
              </w:rPr>
              <w:t>9.</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EBVPD pateikimo tvarka ir EBVPD pateikiamos informacijos patvirtinimo priemonės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_Toc126263056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6</w:t>
            </w:r>
            <w:r w:rsidRPr="00DC5E25">
              <w:rPr>
                <w:rFonts w:ascii="Times New Roman" w:hAnsi="Times New Roman" w:cs="Times New Roman"/>
                <w:b w:val="0"/>
                <w:bCs w:val="0"/>
                <w:webHidden/>
                <w:sz w:val="22"/>
                <w:szCs w:val="22"/>
              </w:rPr>
              <w:fldChar w:fldCharType="end"/>
            </w:r>
          </w:hyperlink>
        </w:p>
        <w:p w14:paraId="058743BE" w14:textId="4CB94675"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DC5E25">
              <w:rPr>
                <w:rStyle w:val="Hipersaitas"/>
                <w:rFonts w:ascii="Times New Roman" w:hAnsi="Times New Roman" w:cs="Times New Roman"/>
                <w:b w:val="0"/>
                <w:bCs w:val="0"/>
                <w:sz w:val="22"/>
                <w:szCs w:val="22"/>
              </w:rPr>
              <w:t>10.</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Rėmimasis ūkio subjektų pajėgumais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_Toc126263057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8</w:t>
            </w:r>
            <w:r w:rsidRPr="00DC5E25">
              <w:rPr>
                <w:rFonts w:ascii="Times New Roman" w:hAnsi="Times New Roman" w:cs="Times New Roman"/>
                <w:b w:val="0"/>
                <w:bCs w:val="0"/>
                <w:webHidden/>
                <w:sz w:val="22"/>
                <w:szCs w:val="22"/>
              </w:rPr>
              <w:fldChar w:fldCharType="end"/>
            </w:r>
          </w:hyperlink>
        </w:p>
        <w:p w14:paraId="313E8825" w14:textId="39E0BA1B"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DC5E25">
              <w:rPr>
                <w:rStyle w:val="Hipersaitas"/>
                <w:rFonts w:ascii="Times New Roman" w:hAnsi="Times New Roman" w:cs="Times New Roman"/>
                <w:b w:val="0"/>
                <w:bCs w:val="0"/>
                <w:sz w:val="22"/>
                <w:szCs w:val="22"/>
              </w:rPr>
              <w:t>11.</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Subtiekėjų pasitelkimas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_Toc126263058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8</w:t>
            </w:r>
            <w:r w:rsidRPr="00DC5E25">
              <w:rPr>
                <w:rFonts w:ascii="Times New Roman" w:hAnsi="Times New Roman" w:cs="Times New Roman"/>
                <w:b w:val="0"/>
                <w:bCs w:val="0"/>
                <w:webHidden/>
                <w:sz w:val="22"/>
                <w:szCs w:val="22"/>
              </w:rPr>
              <w:fldChar w:fldCharType="end"/>
            </w:r>
          </w:hyperlink>
        </w:p>
        <w:p w14:paraId="46F9CF27" w14:textId="0FCF123A"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DC5E25">
              <w:rPr>
                <w:rStyle w:val="Hipersaitas"/>
                <w:rFonts w:ascii="Times New Roman" w:hAnsi="Times New Roman" w:cs="Times New Roman"/>
                <w:b w:val="0"/>
                <w:bCs w:val="0"/>
                <w:sz w:val="22"/>
                <w:szCs w:val="22"/>
              </w:rPr>
              <w:t>12.</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Tiekėjų grupės dalyvavimas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_Toc126263059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9</w:t>
            </w:r>
            <w:r w:rsidRPr="00DC5E25">
              <w:rPr>
                <w:rFonts w:ascii="Times New Roman" w:hAnsi="Times New Roman" w:cs="Times New Roman"/>
                <w:b w:val="0"/>
                <w:bCs w:val="0"/>
                <w:webHidden/>
                <w:sz w:val="22"/>
                <w:szCs w:val="22"/>
              </w:rPr>
              <w:fldChar w:fldCharType="end"/>
            </w:r>
          </w:hyperlink>
        </w:p>
        <w:p w14:paraId="788CF198" w14:textId="5636C730"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DC5E25">
              <w:rPr>
                <w:rStyle w:val="Hipersaitas"/>
                <w:rFonts w:ascii="Times New Roman" w:hAnsi="Times New Roman" w:cs="Times New Roman"/>
                <w:b w:val="0"/>
                <w:bCs w:val="0"/>
                <w:sz w:val="22"/>
                <w:szCs w:val="22"/>
              </w:rPr>
              <w:t>13.</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Reikalavimai pasiūlymų rengimui ir pateikimui</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_Toc126263060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9</w:t>
            </w:r>
            <w:r w:rsidRPr="00DC5E25">
              <w:rPr>
                <w:rFonts w:ascii="Times New Roman" w:hAnsi="Times New Roman" w:cs="Times New Roman"/>
                <w:b w:val="0"/>
                <w:bCs w:val="0"/>
                <w:webHidden/>
                <w:sz w:val="22"/>
                <w:szCs w:val="22"/>
              </w:rPr>
              <w:fldChar w:fldCharType="end"/>
            </w:r>
          </w:hyperlink>
        </w:p>
        <w:p w14:paraId="521D39AC" w14:textId="4BCD054D"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DC5E25">
              <w:rPr>
                <w:rStyle w:val="Hipersaitas"/>
                <w:rFonts w:ascii="Times New Roman" w:hAnsi="Times New Roman" w:cs="Times New Roman"/>
                <w:b w:val="0"/>
                <w:bCs w:val="0"/>
                <w:sz w:val="22"/>
                <w:szCs w:val="22"/>
              </w:rPr>
              <w:t>14.</w:t>
            </w:r>
            <w:r w:rsidR="00873761" w:rsidRPr="00DC5E25">
              <w:rPr>
                <w:rStyle w:val="Hipersaitas"/>
                <w:rFonts w:ascii="Times New Roman" w:hAnsi="Times New Roman" w:cs="Times New Roman"/>
                <w:b w:val="0"/>
                <w:bCs w:val="0"/>
                <w:sz w:val="22"/>
                <w:szCs w:val="22"/>
              </w:rPr>
              <w:t xml:space="preserve"> </w:t>
            </w:r>
            <w:r w:rsidRPr="00DC5E25">
              <w:rPr>
                <w:rStyle w:val="Hipersaitas"/>
                <w:rFonts w:ascii="Times New Roman" w:hAnsi="Times New Roman" w:cs="Times New Roman"/>
                <w:b w:val="0"/>
                <w:bCs w:val="0"/>
                <w:sz w:val="22"/>
                <w:szCs w:val="22"/>
              </w:rPr>
              <w:t>Pasiūlymų šifravimas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_Toc126263061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10</w:t>
            </w:r>
            <w:r w:rsidRPr="00DC5E25">
              <w:rPr>
                <w:rFonts w:ascii="Times New Roman" w:hAnsi="Times New Roman" w:cs="Times New Roman"/>
                <w:b w:val="0"/>
                <w:bCs w:val="0"/>
                <w:webHidden/>
                <w:sz w:val="22"/>
                <w:szCs w:val="22"/>
              </w:rPr>
              <w:fldChar w:fldCharType="end"/>
            </w:r>
          </w:hyperlink>
        </w:p>
        <w:p w14:paraId="463A533A" w14:textId="2C97CA6B"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DC5E25">
              <w:rPr>
                <w:rStyle w:val="Hipersaitas"/>
                <w:rFonts w:ascii="Times New Roman" w:hAnsi="Times New Roman" w:cs="Times New Roman"/>
                <w:b w:val="0"/>
                <w:bCs w:val="0"/>
                <w:sz w:val="22"/>
                <w:szCs w:val="22"/>
              </w:rPr>
              <w:t>15.</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Susipažinimas su pasiūlymais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_Toc126263062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11</w:t>
            </w:r>
            <w:r w:rsidRPr="00DC5E25">
              <w:rPr>
                <w:rFonts w:ascii="Times New Roman" w:hAnsi="Times New Roman" w:cs="Times New Roman"/>
                <w:b w:val="0"/>
                <w:bCs w:val="0"/>
                <w:webHidden/>
                <w:sz w:val="22"/>
                <w:szCs w:val="22"/>
              </w:rPr>
              <w:fldChar w:fldCharType="end"/>
            </w:r>
          </w:hyperlink>
        </w:p>
        <w:p w14:paraId="4697A672" w14:textId="054B8545"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DC5E25">
              <w:rPr>
                <w:rStyle w:val="Hipersaitas"/>
                <w:rFonts w:ascii="Times New Roman" w:hAnsi="Times New Roman" w:cs="Times New Roman"/>
                <w:b w:val="0"/>
                <w:bCs w:val="0"/>
                <w:sz w:val="22"/>
                <w:szCs w:val="22"/>
              </w:rPr>
              <w:t>16.</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Elektroninis aukcionas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_Toc126263063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12</w:t>
            </w:r>
            <w:r w:rsidRPr="00DC5E25">
              <w:rPr>
                <w:rFonts w:ascii="Times New Roman" w:hAnsi="Times New Roman" w:cs="Times New Roman"/>
                <w:b w:val="0"/>
                <w:bCs w:val="0"/>
                <w:webHidden/>
                <w:sz w:val="22"/>
                <w:szCs w:val="22"/>
              </w:rPr>
              <w:fldChar w:fldCharType="end"/>
            </w:r>
          </w:hyperlink>
        </w:p>
        <w:p w14:paraId="42D93D1A" w14:textId="03560B37"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DC5E25">
              <w:rPr>
                <w:rStyle w:val="Hipersaitas"/>
                <w:rFonts w:ascii="Times New Roman" w:hAnsi="Times New Roman" w:cs="Times New Roman"/>
                <w:b w:val="0"/>
                <w:bCs w:val="0"/>
                <w:sz w:val="22"/>
                <w:szCs w:val="22"/>
              </w:rPr>
              <w:t>17.</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Pasiūlymų vertinimas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_Toc126263064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12</w:t>
            </w:r>
            <w:r w:rsidRPr="00DC5E25">
              <w:rPr>
                <w:rFonts w:ascii="Times New Roman" w:hAnsi="Times New Roman" w:cs="Times New Roman"/>
                <w:b w:val="0"/>
                <w:bCs w:val="0"/>
                <w:webHidden/>
                <w:sz w:val="22"/>
                <w:szCs w:val="22"/>
              </w:rPr>
              <w:fldChar w:fldCharType="end"/>
            </w:r>
          </w:hyperlink>
        </w:p>
        <w:p w14:paraId="2309F88C" w14:textId="658CBCED"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DC5E25">
              <w:rPr>
                <w:rStyle w:val="Hipersaitas"/>
                <w:rFonts w:ascii="Times New Roman" w:eastAsiaTheme="minorHAnsi" w:hAnsi="Times New Roman" w:cs="Times New Roman"/>
                <w:b w:val="0"/>
                <w:bCs w:val="0"/>
                <w:iCs/>
                <w:sz w:val="22"/>
                <w:szCs w:val="22"/>
              </w:rPr>
              <w:t>18.</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Pasiūlymų atmetimo pagrindai</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_Toc126263065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13</w:t>
            </w:r>
            <w:r w:rsidRPr="00DC5E25">
              <w:rPr>
                <w:rFonts w:ascii="Times New Roman" w:hAnsi="Times New Roman" w:cs="Times New Roman"/>
                <w:b w:val="0"/>
                <w:bCs w:val="0"/>
                <w:webHidden/>
                <w:sz w:val="22"/>
                <w:szCs w:val="22"/>
              </w:rPr>
              <w:fldChar w:fldCharType="end"/>
            </w:r>
          </w:hyperlink>
        </w:p>
        <w:p w14:paraId="5090CE21" w14:textId="131AE87D"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DC5E25">
              <w:rPr>
                <w:rStyle w:val="Hipersaitas"/>
                <w:rFonts w:ascii="Times New Roman" w:eastAsia="Times New Roman" w:hAnsi="Times New Roman" w:cs="Times New Roman"/>
                <w:b w:val="0"/>
                <w:bCs w:val="0"/>
                <w:sz w:val="22"/>
                <w:szCs w:val="22"/>
              </w:rPr>
              <w:t>19.</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Pasiūlymų eilė ir laimėtojo nustatymas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_Toc126263066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14</w:t>
            </w:r>
            <w:r w:rsidRPr="00DC5E25">
              <w:rPr>
                <w:rFonts w:ascii="Times New Roman" w:hAnsi="Times New Roman" w:cs="Times New Roman"/>
                <w:b w:val="0"/>
                <w:bCs w:val="0"/>
                <w:webHidden/>
                <w:sz w:val="22"/>
                <w:szCs w:val="22"/>
              </w:rPr>
              <w:fldChar w:fldCharType="end"/>
            </w:r>
          </w:hyperlink>
        </w:p>
        <w:p w14:paraId="5E409576" w14:textId="150297E4"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DC5E25">
              <w:rPr>
                <w:rStyle w:val="Hipersaitas"/>
                <w:rFonts w:ascii="Times New Roman" w:eastAsia="Times New Roman" w:hAnsi="Times New Roman" w:cs="Times New Roman"/>
                <w:b w:val="0"/>
                <w:bCs w:val="0"/>
                <w:sz w:val="22"/>
                <w:szCs w:val="22"/>
              </w:rPr>
              <w:t>20.</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Informavimas apie pirkimo procedūrų rezultatus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_Toc126263067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15</w:t>
            </w:r>
            <w:r w:rsidRPr="00DC5E25">
              <w:rPr>
                <w:rFonts w:ascii="Times New Roman" w:hAnsi="Times New Roman" w:cs="Times New Roman"/>
                <w:b w:val="0"/>
                <w:bCs w:val="0"/>
                <w:webHidden/>
                <w:sz w:val="22"/>
                <w:szCs w:val="22"/>
              </w:rPr>
              <w:fldChar w:fldCharType="end"/>
            </w:r>
          </w:hyperlink>
        </w:p>
        <w:p w14:paraId="6EB2C906" w14:textId="022F1028"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DC5E25">
              <w:rPr>
                <w:rStyle w:val="Hipersaitas"/>
                <w:rFonts w:ascii="Times New Roman" w:eastAsia="Times New Roman" w:hAnsi="Times New Roman" w:cs="Times New Roman"/>
                <w:b w:val="0"/>
                <w:bCs w:val="0"/>
                <w:sz w:val="22"/>
                <w:szCs w:val="22"/>
              </w:rPr>
              <w:t>21.</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Sutarties sudarymas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_Toc126263068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15</w:t>
            </w:r>
            <w:r w:rsidRPr="00DC5E25">
              <w:rPr>
                <w:rFonts w:ascii="Times New Roman" w:hAnsi="Times New Roman" w:cs="Times New Roman"/>
                <w:b w:val="0"/>
                <w:bCs w:val="0"/>
                <w:webHidden/>
                <w:sz w:val="22"/>
                <w:szCs w:val="22"/>
              </w:rPr>
              <w:fldChar w:fldCharType="end"/>
            </w:r>
          </w:hyperlink>
        </w:p>
        <w:p w14:paraId="5BD6E05E" w14:textId="663E9113" w:rsidR="00B47B9A" w:rsidRPr="00DC5E25" w:rsidRDefault="00B47B9A" w:rsidP="00805C8B">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DC5E25">
              <w:rPr>
                <w:rStyle w:val="Hipersaitas"/>
                <w:rFonts w:ascii="Times New Roman" w:eastAsia="Times New Roman" w:hAnsi="Times New Roman" w:cs="Times New Roman"/>
                <w:b w:val="0"/>
                <w:bCs w:val="0"/>
                <w:sz w:val="22"/>
                <w:szCs w:val="22"/>
              </w:rPr>
              <w:t>22.</w:t>
            </w:r>
            <w:r w:rsidR="00873761" w:rsidRPr="00DC5E25">
              <w:rPr>
                <w:rFonts w:ascii="Times New Roman" w:eastAsiaTheme="minorEastAsia" w:hAnsi="Times New Roman" w:cs="Times New Roman"/>
                <w:b w:val="0"/>
                <w:bCs w:val="0"/>
                <w:sz w:val="22"/>
                <w:szCs w:val="22"/>
                <w:lang w:val="en-US"/>
              </w:rPr>
              <w:t xml:space="preserve"> </w:t>
            </w:r>
            <w:r w:rsidRPr="00DC5E25">
              <w:rPr>
                <w:rStyle w:val="Hipersaitas"/>
                <w:rFonts w:ascii="Times New Roman" w:hAnsi="Times New Roman" w:cs="Times New Roman"/>
                <w:b w:val="0"/>
                <w:bCs w:val="0"/>
                <w:sz w:val="22"/>
                <w:szCs w:val="22"/>
              </w:rPr>
              <w:t xml:space="preserve">Teisė ginčyti </w:t>
            </w:r>
            <w:r w:rsidR="00873761" w:rsidRPr="00DC5E25">
              <w:rPr>
                <w:rStyle w:val="Hipersaitas"/>
                <w:rFonts w:ascii="Times New Roman" w:hAnsi="Times New Roman" w:cs="Times New Roman"/>
                <w:b w:val="0"/>
                <w:bCs w:val="0"/>
                <w:sz w:val="22"/>
                <w:szCs w:val="22"/>
              </w:rPr>
              <w:t>perkančiojo subjekto</w:t>
            </w:r>
            <w:r w:rsidRPr="00DC5E25">
              <w:rPr>
                <w:rStyle w:val="Hipersaitas"/>
                <w:rFonts w:ascii="Times New Roman" w:hAnsi="Times New Roman" w:cs="Times New Roman"/>
                <w:b w:val="0"/>
                <w:bCs w:val="0"/>
                <w:sz w:val="22"/>
                <w:szCs w:val="22"/>
              </w:rPr>
              <w:t xml:space="preserve"> veiksmus ar priimtus sprendimus</w:t>
            </w:r>
            <w:r w:rsidRPr="00DC5E25">
              <w:rPr>
                <w:rFonts w:ascii="Times New Roman" w:hAnsi="Times New Roman" w:cs="Times New Roman"/>
                <w:b w:val="0"/>
                <w:bCs w:val="0"/>
                <w:webHidden/>
                <w:sz w:val="22"/>
                <w:szCs w:val="22"/>
              </w:rPr>
              <w:tab/>
            </w:r>
            <w:r w:rsidRPr="00DC5E25">
              <w:rPr>
                <w:rFonts w:ascii="Times New Roman" w:hAnsi="Times New Roman" w:cs="Times New Roman"/>
                <w:b w:val="0"/>
                <w:bCs w:val="0"/>
                <w:webHidden/>
                <w:sz w:val="22"/>
                <w:szCs w:val="22"/>
              </w:rPr>
              <w:fldChar w:fldCharType="begin"/>
            </w:r>
            <w:r w:rsidRPr="00DC5E25">
              <w:rPr>
                <w:rFonts w:ascii="Times New Roman" w:hAnsi="Times New Roman" w:cs="Times New Roman"/>
                <w:b w:val="0"/>
                <w:bCs w:val="0"/>
                <w:webHidden/>
                <w:sz w:val="22"/>
                <w:szCs w:val="22"/>
              </w:rPr>
              <w:instrText xml:space="preserve"> PAGEREF _Toc126263069 \h </w:instrText>
            </w:r>
            <w:r w:rsidRPr="00DC5E25">
              <w:rPr>
                <w:rFonts w:ascii="Times New Roman" w:hAnsi="Times New Roman" w:cs="Times New Roman"/>
                <w:b w:val="0"/>
                <w:bCs w:val="0"/>
                <w:webHidden/>
                <w:sz w:val="22"/>
                <w:szCs w:val="22"/>
              </w:rPr>
            </w:r>
            <w:r w:rsidRPr="00DC5E25">
              <w:rPr>
                <w:rFonts w:ascii="Times New Roman" w:hAnsi="Times New Roman" w:cs="Times New Roman"/>
                <w:b w:val="0"/>
                <w:bCs w:val="0"/>
                <w:webHidden/>
                <w:sz w:val="22"/>
                <w:szCs w:val="22"/>
              </w:rPr>
              <w:fldChar w:fldCharType="separate"/>
            </w:r>
            <w:r w:rsidR="00873761" w:rsidRPr="00DC5E25">
              <w:rPr>
                <w:rFonts w:ascii="Times New Roman" w:hAnsi="Times New Roman" w:cs="Times New Roman"/>
                <w:b w:val="0"/>
                <w:bCs w:val="0"/>
                <w:webHidden/>
                <w:sz w:val="22"/>
                <w:szCs w:val="22"/>
              </w:rPr>
              <w:t>16</w:t>
            </w:r>
            <w:r w:rsidRPr="00DC5E25">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AD2B5C">
          <w:pPr>
            <w:spacing w:after="100"/>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D567F5">
      <w:pPr>
        <w:spacing w:after="0"/>
        <w:rPr>
          <w:lang w:val="lt-LT"/>
        </w:rPr>
      </w:pPr>
      <w:r w:rsidRPr="0036054C">
        <w:rPr>
          <w:lang w:val="lt-LT"/>
        </w:rPr>
        <w:br w:type="page"/>
      </w:r>
    </w:p>
    <w:p w14:paraId="5CD6D699" w14:textId="23FD2A27" w:rsidR="00184B8C" w:rsidRPr="00AC3CB7" w:rsidRDefault="00AC3CB7" w:rsidP="001C0496">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497A39DB"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B64D42" w:rsidRPr="00BA66F2">
          <w:rPr>
            <w:rStyle w:val="Hipersaitas"/>
            <w:rFonts w:ascii="Times New Roman" w:hAnsi="Times New Roman" w:cs="Times New Roman"/>
            <w:sz w:val="22"/>
            <w:szCs w:val="22"/>
            <w:u w:val="single"/>
          </w:rPr>
          <w:t>https://viesiejipirkimai.lt/epps/home.do</w:t>
        </w:r>
      </w:hyperlink>
      <w:r w:rsidR="00B64D42" w:rsidRPr="00BA66F2">
        <w:rPr>
          <w:rFonts w:ascii="Times New Roman" w:hAnsi="Times New Roman" w:cs="Times New Roman"/>
          <w:sz w:val="22"/>
          <w:szCs w:val="22"/>
          <w:u w:val="single"/>
        </w:rPr>
        <w:t>.</w:t>
      </w:r>
      <w:r w:rsidR="00B64D42" w:rsidRPr="00B64D42">
        <w:rPr>
          <w:sz w:val="22"/>
          <w:szCs w:val="22"/>
        </w:rPr>
        <w:t xml:space="preserve"> </w:t>
      </w:r>
    </w:p>
    <w:p w14:paraId="6D2FA0B8" w14:textId="5F0A21A1" w:rsidR="00E2488F"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717F6010"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w:t>
      </w:r>
      <w:r w:rsidR="00184B8C" w:rsidRPr="00D03AE6">
        <w:rPr>
          <w:rFonts w:ascii="Times New Roman" w:hAnsi="Times New Roman" w:cs="Times New Roman"/>
          <w:sz w:val="22"/>
          <w:szCs w:val="22"/>
          <w:lang w:val="lt-LT"/>
        </w:rPr>
        <w:t xml:space="preserve">svetainėje </w:t>
      </w:r>
      <w:hyperlink r:id="rId13" w:history="1">
        <w:r w:rsidR="00BA66F2" w:rsidRPr="00BA66F2">
          <w:rPr>
            <w:rStyle w:val="Hipersaitas"/>
            <w:rFonts w:ascii="Times New Roman" w:hAnsi="Times New Roman" w:cs="Times New Roman"/>
            <w:sz w:val="22"/>
            <w:szCs w:val="22"/>
            <w:u w:val="single"/>
          </w:rPr>
          <w:t>https://ebvpd.eviesiejipirkimai.lt/espd-web/</w:t>
        </w:r>
      </w:hyperlink>
      <w:r w:rsidR="00BA66F2" w:rsidRPr="00BA66F2">
        <w:rPr>
          <w:rFonts w:ascii="Times New Roman" w:hAnsi="Times New Roman" w:cs="Times New Roman"/>
          <w:sz w:val="22"/>
          <w:szCs w:val="22"/>
          <w:u w:val="single"/>
        </w:rPr>
        <w:t>.</w:t>
      </w:r>
      <w:r w:rsidR="00BA66F2" w:rsidRPr="00BA66F2">
        <w:rPr>
          <w:sz w:val="22"/>
          <w:szCs w:val="22"/>
        </w:rPr>
        <w:t xml:space="preserve"> </w:t>
      </w:r>
    </w:p>
    <w:p w14:paraId="1EEF1EAD" w14:textId="6A155E7C"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1C0496">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1C0496">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1C0496">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1C0496">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1C0496">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1C0496">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1C0496">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63A01A54" w:rsidR="00333DA7" w:rsidRPr="00FF0DFD" w:rsidRDefault="00FF0DFD" w:rsidP="001C0496">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irkime, atliekamame</w:t>
      </w:r>
      <w:r w:rsidR="00005094">
        <w:rPr>
          <w:rFonts w:ascii="Times New Roman" w:eastAsia="Calibri" w:hAnsi="Times New Roman" w:cs="Times New Roman"/>
          <w:sz w:val="22"/>
          <w:szCs w:val="22"/>
          <w:lang w:val="lt-LT"/>
        </w:rPr>
        <w:t xml:space="preserve">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1C0496">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1C0496">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1C0496">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510A19">
        <w:rPr>
          <w:rFonts w:ascii="Times New Roman" w:hAnsi="Times New Roman" w:cs="Times New Roman"/>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1C0496">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1C0496">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1C0496">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1C0496">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1C0496">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F073DC">
      <w:pPr>
        <w:pStyle w:val="Betarp"/>
        <w:spacing w:line="276" w:lineRule="auto"/>
        <w:contextualSpacing/>
        <w:jc w:val="both"/>
        <w:rPr>
          <w:rStyle w:val="cf01"/>
          <w:rFonts w:ascii="Times New Roman" w:hAnsi="Times New Roman" w:cs="Times New Roman"/>
          <w:sz w:val="22"/>
          <w:szCs w:val="22"/>
          <w:lang w:val="lt-LT"/>
        </w:rPr>
      </w:pPr>
    </w:p>
    <w:p w14:paraId="5FB10D31" w14:textId="7958A3DD" w:rsidR="00F42204" w:rsidRPr="00F073DC" w:rsidRDefault="00F073DC" w:rsidP="001C0496">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1C0496">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B4573C4" w:rsidR="00F42204" w:rsidRPr="00F073DC" w:rsidRDefault="00F073DC" w:rsidP="001C0496">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r w:rsidR="0068378B" w:rsidRPr="00CE70A4">
        <w:rPr>
          <w:rFonts w:ascii="Times New Roman" w:hAnsi="Times New Roman" w:cs="Times New Roman"/>
          <w:sz w:val="22"/>
          <w:szCs w:val="22"/>
          <w:u w:val="single"/>
        </w:rPr>
        <w:t>https://viesiejipirkimai.lt/epps/home.do.</w:t>
      </w:r>
      <w:r w:rsidR="0068378B" w:rsidRPr="0068378B">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7E1C08AF" w:rsidR="00F42204" w:rsidRPr="00F073DC" w:rsidRDefault="00F073DC" w:rsidP="001C0496">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r w:rsidR="00CE70A4" w:rsidRPr="00CE70A4">
        <w:rPr>
          <w:rFonts w:ascii="Times New Roman" w:hAnsi="Times New Roman" w:cs="Times New Roman"/>
          <w:sz w:val="22"/>
          <w:szCs w:val="22"/>
          <w:u w:val="single"/>
        </w:rPr>
        <w:t>https://viesiejipirkimai.lt/epps/home.do.</w:t>
      </w:r>
    </w:p>
    <w:p w14:paraId="4185C944" w14:textId="46138D4C" w:rsidR="00F42204" w:rsidRPr="00F073DC" w:rsidRDefault="00F073DC" w:rsidP="001C0496">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1C0496">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1C0496">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1C0496">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lastRenderedPageBreak/>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1C0496">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1C0496">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4E4B90">
      <w:pPr>
        <w:spacing w:after="0"/>
        <w:jc w:val="both"/>
        <w:rPr>
          <w:rFonts w:ascii="Times New Roman" w:hAnsi="Times New Roman" w:cs="Times New Roman"/>
          <w:bCs/>
          <w:sz w:val="22"/>
          <w:szCs w:val="22"/>
          <w:lang w:val="lt-LT"/>
        </w:rPr>
      </w:pPr>
    </w:p>
    <w:p w14:paraId="3D7D092A" w14:textId="613D069C" w:rsidR="00F42204" w:rsidRPr="004E4B90" w:rsidRDefault="004E4B90" w:rsidP="001C0496">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1C0496">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1C0496">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1C0496">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1C0496">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7909602B" w:rsidR="00D5409B" w:rsidRDefault="004E4B90" w:rsidP="001C0496">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D5409B">
      <w:pPr>
        <w:spacing w:after="0"/>
        <w:jc w:val="both"/>
        <w:rPr>
          <w:rFonts w:ascii="Times New Roman" w:hAnsi="Times New Roman" w:cs="Times New Roman"/>
          <w:sz w:val="22"/>
          <w:szCs w:val="22"/>
          <w:lang w:val="lt-LT"/>
        </w:rPr>
      </w:pPr>
    </w:p>
    <w:p w14:paraId="14B9DB08" w14:textId="4361992A" w:rsidR="00E90B75" w:rsidRPr="00D5409B" w:rsidRDefault="00D5409B" w:rsidP="001C0496">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1C0496">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1C0496">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1C0496">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lastRenderedPageBreak/>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D14338C" w:rsidR="00172D74" w:rsidRPr="00D5409B" w:rsidRDefault="00D5409B" w:rsidP="001C0496">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1C0496">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0A393E">
      <w:pPr>
        <w:tabs>
          <w:tab w:val="left" w:pos="567"/>
        </w:tabs>
        <w:spacing w:after="0"/>
        <w:jc w:val="both"/>
        <w:rPr>
          <w:rFonts w:ascii="Times New Roman" w:eastAsia="Arial" w:hAnsi="Times New Roman" w:cs="Times New Roman"/>
          <w:sz w:val="22"/>
          <w:szCs w:val="22"/>
          <w:lang w:val="lt-LT"/>
        </w:rPr>
      </w:pPr>
    </w:p>
    <w:p w14:paraId="48105710" w14:textId="35068161" w:rsidR="00F31804" w:rsidRPr="000A393E" w:rsidRDefault="000A393E" w:rsidP="00664558">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664558">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664558">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664558">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0A393E">
      <w:pPr>
        <w:tabs>
          <w:tab w:val="left" w:pos="567"/>
        </w:tabs>
        <w:spacing w:after="0"/>
        <w:jc w:val="both"/>
        <w:rPr>
          <w:rFonts w:ascii="Times New Roman" w:hAnsi="Times New Roman" w:cs="Times New Roman"/>
          <w:sz w:val="22"/>
          <w:szCs w:val="22"/>
          <w:lang w:val="lt-LT"/>
        </w:rPr>
      </w:pPr>
    </w:p>
    <w:p w14:paraId="6760971A" w14:textId="63907996" w:rsidR="005B08B2" w:rsidRPr="000A393E" w:rsidRDefault="000A393E" w:rsidP="00664558">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664558">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664558">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664558">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664558">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664558">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664558">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664558">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664558">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lastRenderedPageBreak/>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664558">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664558">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664558">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664558">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664558">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664558">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664558">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B71340">
      <w:pPr>
        <w:spacing w:after="0"/>
        <w:jc w:val="both"/>
        <w:rPr>
          <w:rFonts w:ascii="Times New Roman" w:hAnsi="Times New Roman" w:cs="Times New Roman"/>
          <w:color w:val="000000"/>
          <w:sz w:val="22"/>
          <w:szCs w:val="22"/>
          <w:lang w:val="lt-LT"/>
        </w:rPr>
      </w:pPr>
    </w:p>
    <w:p w14:paraId="18A715F2" w14:textId="57E58816" w:rsidR="00546C35" w:rsidRPr="00B71340" w:rsidRDefault="00B71340" w:rsidP="00664558">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664558">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664558">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664558">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664558">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664558">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664558">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664558">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2A52C581" w:rsidR="00546C35" w:rsidRPr="00B71340" w:rsidRDefault="00B71340" w:rsidP="00664558">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r w:rsidR="00CD176D" w:rsidRPr="00CD176D">
        <w:rPr>
          <w:rFonts w:ascii="Times New Roman" w:hAnsi="Times New Roman" w:cs="Times New Roman"/>
          <w:sz w:val="22"/>
          <w:szCs w:val="22"/>
          <w:u w:val="single"/>
        </w:rPr>
        <w:t>https://ebvpd.eviesiejipirkimai.lt/espd-web/.</w:t>
      </w:r>
      <w:r w:rsidR="00CD176D" w:rsidRPr="00CD176D">
        <w:rPr>
          <w:rFonts w:ascii="Times New Roman" w:eastAsia="Calibri" w:hAnsi="Times New Roman" w:cs="Times New Roman"/>
          <w:sz w:val="24"/>
          <w:szCs w:val="24"/>
          <w:lang w:val="lt-LT"/>
        </w:rPr>
        <w:t xml:space="preserve"> </w:t>
      </w:r>
      <w:r w:rsidR="00CD176D">
        <w:rPr>
          <w:rFonts w:ascii="Times New Roman" w:eastAsia="Calibri" w:hAnsi="Times New Roman" w:cs="Times New Roman"/>
          <w:sz w:val="24"/>
          <w:szCs w:val="24"/>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664558">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664558">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w:t>
      </w:r>
      <w:r w:rsidR="00F67C86" w:rsidRPr="00B71340">
        <w:rPr>
          <w:rFonts w:ascii="Times New Roman" w:hAnsi="Times New Roman" w:cs="Times New Roman"/>
          <w:sz w:val="22"/>
          <w:szCs w:val="22"/>
          <w:lang w:val="lt-LT"/>
        </w:rPr>
        <w:lastRenderedPageBreak/>
        <w:t xml:space="preserve">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664558">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07D49915" w:rsidR="0076192A" w:rsidRPr="00B71340" w:rsidRDefault="00B71340" w:rsidP="00664558">
      <w:pPr>
        <w:spacing w:after="0"/>
        <w:ind w:left="-567"/>
        <w:jc w:val="both"/>
        <w:rPr>
          <w:rFonts w:ascii="Times New Roman" w:hAnsi="Times New Roman" w:cs="Times New Roman"/>
          <w:sz w:val="22"/>
          <w:szCs w:val="22"/>
          <w:lang w:val="lt-LT"/>
        </w:rPr>
      </w:pPr>
      <w:r w:rsidRPr="00C358D3">
        <w:rPr>
          <w:rFonts w:ascii="Times New Roman" w:hAnsi="Times New Roman" w:cs="Times New Roman"/>
          <w:sz w:val="22"/>
          <w:szCs w:val="22"/>
          <w:lang w:val="lt-LT"/>
        </w:rPr>
        <w:t xml:space="preserve">9.6. </w:t>
      </w:r>
      <w:r w:rsidR="00C358D3" w:rsidRPr="00C358D3">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5CB0D268" w:rsidR="002C3735" w:rsidRPr="00B71340" w:rsidRDefault="00B71340" w:rsidP="00664558">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664558">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664558">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664558">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664558">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664558">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664558">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664558">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B71340">
      <w:pPr>
        <w:tabs>
          <w:tab w:val="left" w:pos="993"/>
        </w:tabs>
        <w:spacing w:after="0"/>
        <w:jc w:val="both"/>
        <w:rPr>
          <w:rFonts w:ascii="Times New Roman" w:hAnsi="Times New Roman" w:cs="Times New Roman"/>
          <w:sz w:val="22"/>
          <w:szCs w:val="22"/>
          <w:lang w:val="lt-LT"/>
        </w:rPr>
      </w:pPr>
    </w:p>
    <w:p w14:paraId="05692DDE" w14:textId="32552954" w:rsidR="008F7425" w:rsidRPr="00B71340" w:rsidRDefault="00B71340" w:rsidP="00664558">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664558">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664558">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664558">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664558">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664558">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664558">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FC3B83">
      <w:pPr>
        <w:tabs>
          <w:tab w:val="left" w:pos="1134"/>
        </w:tabs>
        <w:spacing w:after="0"/>
        <w:jc w:val="both"/>
        <w:rPr>
          <w:rFonts w:ascii="Times New Roman" w:hAnsi="Times New Roman" w:cs="Times New Roman"/>
          <w:color w:val="FF0000"/>
          <w:sz w:val="22"/>
          <w:szCs w:val="22"/>
          <w:lang w:val="lt-LT"/>
        </w:rPr>
      </w:pPr>
    </w:p>
    <w:p w14:paraId="42A9ADC0" w14:textId="293FC0BA" w:rsidR="003B359D" w:rsidRPr="00FC3B83" w:rsidRDefault="00FC3B83" w:rsidP="00664558">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664558">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664558">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664558">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128507C2" w14:textId="79BFE5FC" w:rsidR="00B92134" w:rsidRDefault="00FC3B83" w:rsidP="00664558">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5935BB">
      <w:pPr>
        <w:spacing w:after="0"/>
        <w:jc w:val="center"/>
        <w:rPr>
          <w:rFonts w:ascii="Times New Roman" w:hAnsi="Times New Roman" w:cs="Times New Roman"/>
          <w:b/>
          <w:bCs/>
          <w:sz w:val="22"/>
          <w:szCs w:val="22"/>
          <w:lang w:val="lt-LT"/>
        </w:rPr>
      </w:pPr>
    </w:p>
    <w:p w14:paraId="1863C057" w14:textId="0DCE70CD" w:rsidR="00D531A6" w:rsidRPr="005935BB" w:rsidRDefault="005935BB" w:rsidP="00664558">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664558">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664558">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664558">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664558">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664558">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664558">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7B046468" w14:textId="77777777" w:rsidR="004B2CC8" w:rsidRDefault="004B2CC8" w:rsidP="004B2CC8">
      <w:pPr>
        <w:tabs>
          <w:tab w:val="left" w:pos="1276"/>
        </w:tabs>
        <w:spacing w:after="0"/>
        <w:jc w:val="both"/>
        <w:rPr>
          <w:rFonts w:ascii="Times New Roman" w:hAnsi="Times New Roman" w:cs="Times New Roman"/>
          <w:sz w:val="22"/>
          <w:szCs w:val="22"/>
          <w:lang w:val="lt-LT"/>
        </w:rPr>
      </w:pPr>
    </w:p>
    <w:p w14:paraId="2331681E" w14:textId="77777777" w:rsidR="00664558" w:rsidRDefault="00664558" w:rsidP="004B2CC8">
      <w:pPr>
        <w:tabs>
          <w:tab w:val="left" w:pos="1276"/>
        </w:tabs>
        <w:spacing w:after="0"/>
        <w:jc w:val="both"/>
        <w:rPr>
          <w:rFonts w:ascii="Times New Roman" w:hAnsi="Times New Roman" w:cs="Times New Roman"/>
          <w:sz w:val="22"/>
          <w:szCs w:val="22"/>
          <w:lang w:val="lt-LT"/>
        </w:rPr>
      </w:pPr>
    </w:p>
    <w:p w14:paraId="21CAC95E" w14:textId="63B6FC57" w:rsidR="001F20C8" w:rsidRPr="004B2CC8" w:rsidRDefault="004B2CC8" w:rsidP="00664558">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664558">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664558">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664558">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664558">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664558">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664558">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664558">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664558">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664558">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723A4">
      <w:pPr>
        <w:spacing w:after="0"/>
        <w:jc w:val="both"/>
        <w:rPr>
          <w:rFonts w:ascii="Times New Roman" w:hAnsi="Times New Roman" w:cs="Times New Roman"/>
          <w:sz w:val="22"/>
          <w:szCs w:val="22"/>
          <w:lang w:val="lt-LT"/>
        </w:rPr>
      </w:pPr>
    </w:p>
    <w:p w14:paraId="34FBBDEC" w14:textId="3A4E1762" w:rsidR="0017028B" w:rsidRPr="00E723A4" w:rsidRDefault="00E723A4" w:rsidP="00664558">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664558">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664558">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664558">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4"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664558">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664558">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664558">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664558">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664558">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664558">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CA5156">
      <w:pPr>
        <w:spacing w:after="0"/>
        <w:jc w:val="both"/>
        <w:rPr>
          <w:rFonts w:ascii="Times New Roman" w:hAnsi="Times New Roman" w:cs="Times New Roman"/>
          <w:sz w:val="22"/>
          <w:szCs w:val="22"/>
          <w:lang w:val="lt-LT"/>
        </w:rPr>
      </w:pPr>
    </w:p>
    <w:p w14:paraId="39CC42F2" w14:textId="37350F50" w:rsidR="003D3124" w:rsidRPr="00CA5156" w:rsidRDefault="00CA5156" w:rsidP="00664558">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664558">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664558">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664558">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664558">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664558">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2C5AD2">
      <w:pPr>
        <w:autoSpaceDE w:val="0"/>
        <w:autoSpaceDN w:val="0"/>
        <w:adjustRightInd w:val="0"/>
        <w:spacing w:after="0"/>
        <w:jc w:val="both"/>
        <w:rPr>
          <w:rFonts w:ascii="Times New Roman" w:hAnsi="Times New Roman" w:cs="Times New Roman"/>
          <w:bCs/>
          <w:sz w:val="22"/>
          <w:szCs w:val="22"/>
          <w:lang w:val="lt-LT"/>
        </w:rPr>
      </w:pPr>
    </w:p>
    <w:p w14:paraId="2DBD25F7" w14:textId="77777777" w:rsidR="002C5AD2" w:rsidRDefault="002C5AD2" w:rsidP="00664558">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664558">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B422B1">
      <w:pPr>
        <w:autoSpaceDE w:val="0"/>
        <w:autoSpaceDN w:val="0"/>
        <w:adjustRightInd w:val="0"/>
        <w:spacing w:after="0"/>
        <w:jc w:val="both"/>
        <w:rPr>
          <w:rFonts w:ascii="Times New Roman" w:hAnsi="Times New Roman" w:cs="Times New Roman"/>
          <w:bCs/>
          <w:sz w:val="22"/>
          <w:szCs w:val="22"/>
          <w:lang w:val="lt-LT"/>
        </w:rPr>
      </w:pPr>
    </w:p>
    <w:p w14:paraId="444AFC52" w14:textId="6C39D4A2" w:rsidR="00BB30D9" w:rsidRPr="00B422B1" w:rsidRDefault="00B422B1" w:rsidP="00664558">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664558">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664558">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664558">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664558">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664558">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22C64FED" w14:textId="77777777" w:rsidR="00EE3F00" w:rsidRDefault="00B422B1" w:rsidP="00664558">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F55B2D8" w14:textId="77777777" w:rsidR="00EE3F00" w:rsidRDefault="00EE3F00" w:rsidP="00EE3F00">
      <w:pPr>
        <w:spacing w:after="0"/>
        <w:jc w:val="both"/>
        <w:rPr>
          <w:rFonts w:ascii="Times New Roman" w:hAnsi="Times New Roman" w:cs="Times New Roman"/>
          <w:sz w:val="22"/>
          <w:szCs w:val="22"/>
          <w:lang w:val="lt-LT"/>
        </w:rPr>
      </w:pPr>
    </w:p>
    <w:p w14:paraId="658E1EFB" w14:textId="77777777" w:rsidR="00664558" w:rsidRDefault="00664558" w:rsidP="00EE3F00">
      <w:pPr>
        <w:spacing w:after="0"/>
        <w:jc w:val="both"/>
        <w:rPr>
          <w:rFonts w:ascii="Times New Roman" w:hAnsi="Times New Roman" w:cs="Times New Roman"/>
          <w:sz w:val="22"/>
          <w:szCs w:val="22"/>
          <w:lang w:val="lt-LT"/>
        </w:rPr>
      </w:pPr>
    </w:p>
    <w:p w14:paraId="7657BDF8" w14:textId="77777777" w:rsidR="00664558" w:rsidRDefault="00664558" w:rsidP="00EE3F00">
      <w:pPr>
        <w:spacing w:after="0"/>
        <w:jc w:val="both"/>
        <w:rPr>
          <w:rFonts w:ascii="Times New Roman" w:hAnsi="Times New Roman" w:cs="Times New Roman"/>
          <w:sz w:val="22"/>
          <w:szCs w:val="22"/>
          <w:lang w:val="lt-LT"/>
        </w:rPr>
      </w:pPr>
    </w:p>
    <w:p w14:paraId="682293E7" w14:textId="61D79342" w:rsidR="00E37239" w:rsidRPr="00EE3F00" w:rsidRDefault="00EE3F00" w:rsidP="00664558">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664558">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664558">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664558">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664558">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664558">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664558">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664558">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664558">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324890">
      <w:pPr>
        <w:tabs>
          <w:tab w:val="left" w:pos="1276"/>
        </w:tabs>
        <w:spacing w:after="0"/>
        <w:jc w:val="both"/>
        <w:rPr>
          <w:rFonts w:ascii="Times New Roman" w:hAnsi="Times New Roman" w:cs="Times New Roman"/>
          <w:sz w:val="22"/>
          <w:szCs w:val="22"/>
          <w:lang w:val="lt-LT"/>
        </w:rPr>
      </w:pPr>
    </w:p>
    <w:p w14:paraId="2CAA6A97" w14:textId="75D21664" w:rsidR="00C36A61" w:rsidRPr="00324890" w:rsidRDefault="00324890" w:rsidP="00664558">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664558">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664558">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664558">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664558">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324890">
      <w:pPr>
        <w:spacing w:after="0"/>
        <w:jc w:val="both"/>
        <w:rPr>
          <w:rFonts w:ascii="Times New Roman" w:hAnsi="Times New Roman" w:cs="Times New Roman"/>
          <w:sz w:val="22"/>
          <w:szCs w:val="22"/>
          <w:lang w:val="lt-LT"/>
        </w:rPr>
      </w:pPr>
    </w:p>
    <w:p w14:paraId="04B49802" w14:textId="15FD7191" w:rsidR="009641A6" w:rsidRPr="00324890" w:rsidRDefault="00324890" w:rsidP="00664558">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664558">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664558">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8451B8">
      <w:pPr>
        <w:spacing w:after="0"/>
        <w:jc w:val="both"/>
        <w:rPr>
          <w:rStyle w:val="cf01"/>
          <w:rFonts w:ascii="Times New Roman" w:hAnsi="Times New Roman" w:cs="Times New Roman"/>
          <w:sz w:val="22"/>
          <w:szCs w:val="22"/>
          <w:lang w:val="lt-LT"/>
        </w:rPr>
      </w:pPr>
    </w:p>
    <w:p w14:paraId="03F3E26D" w14:textId="2FA3175C" w:rsidR="0038274D" w:rsidRPr="008451B8" w:rsidRDefault="008451B8" w:rsidP="00664558">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664558">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664558">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664558">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664558">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664558">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664558">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664558">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664558">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F87ECC">
      <w:pPr>
        <w:spacing w:after="0"/>
        <w:jc w:val="both"/>
        <w:rPr>
          <w:rFonts w:ascii="Times New Roman" w:hAnsi="Times New Roman" w:cs="Times New Roman"/>
          <w:sz w:val="22"/>
          <w:szCs w:val="22"/>
          <w:lang w:val="lt-LT"/>
        </w:rPr>
      </w:pPr>
    </w:p>
    <w:p w14:paraId="654056F0" w14:textId="68B1C0D8" w:rsidR="006B5699" w:rsidRPr="00F87ECC" w:rsidRDefault="00F87ECC" w:rsidP="00664558">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664558">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664558">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664558">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9641A6">
      <w:pPr>
        <w:pStyle w:val="Sraopastraipa"/>
        <w:spacing w:line="240" w:lineRule="auto"/>
        <w:ind w:left="567"/>
        <w:jc w:val="center"/>
        <w:rPr>
          <w:rFonts w:cstheme="minorHAnsi"/>
          <w:lang w:val="lt-LT"/>
        </w:rPr>
      </w:pPr>
    </w:p>
    <w:p w14:paraId="1646DA1A" w14:textId="395B0177" w:rsidR="009B1639" w:rsidRPr="0036054C" w:rsidRDefault="009641A6" w:rsidP="00664558">
      <w:pPr>
        <w:pStyle w:val="Sraopastraipa"/>
        <w:spacing w:line="240" w:lineRule="auto"/>
        <w:ind w:left="-567"/>
        <w:jc w:val="center"/>
        <w:rPr>
          <w:rFonts w:cstheme="minorHAnsi"/>
          <w:lang w:val="lt-LT"/>
        </w:rPr>
      </w:pPr>
      <w:r w:rsidRPr="0036054C">
        <w:rPr>
          <w:rFonts w:cstheme="minorHAnsi"/>
          <w:lang w:val="lt-LT"/>
        </w:rPr>
        <w:t>_______</w:t>
      </w:r>
      <w:r w:rsidR="00F309F4">
        <w:rPr>
          <w:rFonts w:cstheme="minorHAnsi"/>
          <w:lang w:val="lt-LT"/>
        </w:rPr>
        <w:t>_____________</w:t>
      </w:r>
      <w:r w:rsidRPr="0036054C">
        <w:rPr>
          <w:rFonts w:cstheme="minorHAnsi"/>
          <w:lang w:val="lt-LT"/>
        </w:rPr>
        <w:t>______</w:t>
      </w:r>
    </w:p>
    <w:sectPr w:rsidR="009B1639" w:rsidRPr="0036054C" w:rsidSect="00C10CA3">
      <w:headerReference w:type="even" r:id="rId15"/>
      <w:headerReference w:type="default" r:id="rId16"/>
      <w:footerReference w:type="even" r:id="rId17"/>
      <w:footerReference w:type="default" r:id="rId18"/>
      <w:headerReference w:type="first" r:id="rId19"/>
      <w:footerReference w:type="first" r:id="rId20"/>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C917" w14:textId="77777777" w:rsidR="00DA3ADC" w:rsidRDefault="00DA3ADC" w:rsidP="00184B8C">
      <w:pPr>
        <w:spacing w:after="0" w:line="240" w:lineRule="auto"/>
      </w:pPr>
      <w:r>
        <w:separator/>
      </w:r>
    </w:p>
  </w:endnote>
  <w:endnote w:type="continuationSeparator" w:id="0">
    <w:p w14:paraId="61DA890C" w14:textId="77777777" w:rsidR="00DA3ADC" w:rsidRDefault="00DA3ADC" w:rsidP="00184B8C">
      <w:pPr>
        <w:spacing w:after="0" w:line="240" w:lineRule="auto"/>
      </w:pPr>
      <w:r>
        <w:continuationSeparator/>
      </w:r>
    </w:p>
  </w:endnote>
  <w:endnote w:type="continuationNotice" w:id="1">
    <w:p w14:paraId="01F2D09B" w14:textId="77777777" w:rsidR="00DA3ADC" w:rsidRDefault="00DA3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FFEA" w14:textId="77777777" w:rsidR="00DA3ADC" w:rsidRDefault="00DA3ADC" w:rsidP="00184B8C">
      <w:pPr>
        <w:spacing w:after="0" w:line="240" w:lineRule="auto"/>
      </w:pPr>
      <w:r>
        <w:separator/>
      </w:r>
    </w:p>
  </w:footnote>
  <w:footnote w:type="continuationSeparator" w:id="0">
    <w:p w14:paraId="722C41BC" w14:textId="77777777" w:rsidR="00DA3ADC" w:rsidRDefault="00DA3ADC" w:rsidP="00184B8C">
      <w:pPr>
        <w:spacing w:after="0" w:line="240" w:lineRule="auto"/>
      </w:pPr>
      <w:r>
        <w:continuationSeparator/>
      </w:r>
    </w:p>
  </w:footnote>
  <w:footnote w:type="continuationNotice" w:id="1">
    <w:p w14:paraId="661F5C3F" w14:textId="77777777" w:rsidR="00DA3ADC" w:rsidRDefault="00DA3ADC">
      <w:pPr>
        <w:spacing w:after="0" w:line="240" w:lineRule="auto"/>
      </w:pPr>
    </w:p>
  </w:footnote>
  <w:footnote w:id="2">
    <w:p w14:paraId="007E516C" w14:textId="172496B7" w:rsidR="0041281F" w:rsidRPr="00C3144C" w:rsidRDefault="0041281F" w:rsidP="001C0496">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1C0496">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664558">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664558">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664558">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094"/>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A0"/>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574"/>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496"/>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67D"/>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EEC"/>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0B2"/>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9B4"/>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5B0"/>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A19"/>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455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78B"/>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C8B"/>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B5C"/>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544"/>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D42"/>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134"/>
    <w:rsid w:val="00B92A68"/>
    <w:rsid w:val="00B94E3C"/>
    <w:rsid w:val="00B9567F"/>
    <w:rsid w:val="00B96765"/>
    <w:rsid w:val="00B96861"/>
    <w:rsid w:val="00B97A87"/>
    <w:rsid w:val="00B97DB1"/>
    <w:rsid w:val="00B97DF3"/>
    <w:rsid w:val="00BA364A"/>
    <w:rsid w:val="00BA3CFD"/>
    <w:rsid w:val="00BA4004"/>
    <w:rsid w:val="00BA4F35"/>
    <w:rsid w:val="00BA50AF"/>
    <w:rsid w:val="00BA66F2"/>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CA3"/>
    <w:rsid w:val="00C10FD6"/>
    <w:rsid w:val="00C115D1"/>
    <w:rsid w:val="00C12605"/>
    <w:rsid w:val="00C13752"/>
    <w:rsid w:val="00C13CCE"/>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8D3"/>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7F3"/>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4DC4"/>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76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0A4"/>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3AE6"/>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35F7"/>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DC"/>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3D3"/>
    <w:rsid w:val="00DB6428"/>
    <w:rsid w:val="00DB7964"/>
    <w:rsid w:val="00DB7F69"/>
    <w:rsid w:val="00DC1A7B"/>
    <w:rsid w:val="00DC1D3E"/>
    <w:rsid w:val="00DC1FAC"/>
    <w:rsid w:val="00DC26B9"/>
    <w:rsid w:val="00DC3048"/>
    <w:rsid w:val="00DC3093"/>
    <w:rsid w:val="00DC3CC2"/>
    <w:rsid w:val="00DC3DD8"/>
    <w:rsid w:val="00DC4CB1"/>
    <w:rsid w:val="00DC5E25"/>
    <w:rsid w:val="00DC67C0"/>
    <w:rsid w:val="00DC770A"/>
    <w:rsid w:val="00DC793C"/>
    <w:rsid w:val="00DD0AE9"/>
    <w:rsid w:val="00DD0D36"/>
    <w:rsid w:val="00DD0E6A"/>
    <w:rsid w:val="00DD0F8D"/>
    <w:rsid w:val="00DD1B85"/>
    <w:rsid w:val="00DD1D0D"/>
    <w:rsid w:val="00DD3B47"/>
    <w:rsid w:val="00DD3BBD"/>
    <w:rsid w:val="00DD43D1"/>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EC7"/>
    <w:rsid w:val="00EE3F00"/>
    <w:rsid w:val="00EE470E"/>
    <w:rsid w:val="00EE4FF8"/>
    <w:rsid w:val="00EE64B2"/>
    <w:rsid w:val="00EE723D"/>
    <w:rsid w:val="00EF0093"/>
    <w:rsid w:val="00EF069B"/>
    <w:rsid w:val="00EF2351"/>
    <w:rsid w:val="00EF3486"/>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9F4"/>
    <w:rsid w:val="00F30B47"/>
    <w:rsid w:val="00F31804"/>
    <w:rsid w:val="00F3498C"/>
    <w:rsid w:val="00F3554E"/>
    <w:rsid w:val="00F365F9"/>
    <w:rsid w:val="00F37B44"/>
    <w:rsid w:val="00F40680"/>
    <w:rsid w:val="00F40AB7"/>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Dokumentoinaostekstas">
    <w:name w:val="endnote text"/>
    <w:basedOn w:val="prastasis"/>
    <w:link w:val="DokumentoinaostekstasDiagrama"/>
    <w:uiPriority w:val="99"/>
    <w:semiHidden/>
    <w:unhideWhenUsed/>
    <w:rsid w:val="006645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64558"/>
    <w:rPr>
      <w:sz w:val="20"/>
      <w:szCs w:val="20"/>
    </w:rPr>
  </w:style>
  <w:style w:type="character" w:styleId="Dokumentoinaosnumeris">
    <w:name w:val="endnote reference"/>
    <w:basedOn w:val="Numatytasispastraiposriftas"/>
    <w:uiPriority w:val="99"/>
    <w:semiHidden/>
    <w:unhideWhenUsed/>
    <w:rsid w:val="00664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bvpd.eviesiejipirkimai.lt/espd-we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16</Pages>
  <Words>9373</Words>
  <Characters>53432</Characters>
  <Application>Microsoft Office Word</Application>
  <DocSecurity>0</DocSecurity>
  <Lines>445</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62680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480</cp:revision>
  <dcterms:created xsi:type="dcterms:W3CDTF">2023-01-10T08:21:00Z</dcterms:created>
  <dcterms:modified xsi:type="dcterms:W3CDTF">2025-08-27T07:41:00Z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