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2232" w14:textId="31FE1A7C" w:rsidR="00210261" w:rsidRPr="00210261" w:rsidRDefault="00210261" w:rsidP="00210261">
      <w:pPr>
        <w:spacing w:after="0" w:line="240" w:lineRule="auto"/>
        <w:ind w:left="13320" w:right="-254"/>
        <w:rPr>
          <w:rFonts w:ascii="Times New Roman" w:hAnsi="Times New Roman" w:cs="Times New Roman"/>
          <w:sz w:val="20"/>
          <w:szCs w:val="20"/>
        </w:rPr>
      </w:pPr>
      <w:r w:rsidRPr="00210261">
        <w:rPr>
          <w:rFonts w:ascii="Times New Roman" w:hAnsi="Times New Roman" w:cs="Times New Roman"/>
          <w:sz w:val="20"/>
          <w:szCs w:val="20"/>
        </w:rPr>
        <w:t>SPS</w:t>
      </w:r>
    </w:p>
    <w:p w14:paraId="2792674A" w14:textId="5C2CDDF8" w:rsidR="00210261" w:rsidRPr="00210261" w:rsidRDefault="00210261" w:rsidP="00210261">
      <w:pPr>
        <w:spacing w:after="0" w:line="240" w:lineRule="auto"/>
        <w:ind w:left="13320" w:right="-254"/>
        <w:rPr>
          <w:rFonts w:ascii="Times New Roman" w:hAnsi="Times New Roman" w:cs="Times New Roman"/>
          <w:sz w:val="20"/>
          <w:szCs w:val="20"/>
        </w:rPr>
      </w:pPr>
      <w:r w:rsidRPr="00210261">
        <w:rPr>
          <w:rFonts w:ascii="Times New Roman" w:hAnsi="Times New Roman" w:cs="Times New Roman"/>
          <w:sz w:val="20"/>
          <w:szCs w:val="20"/>
        </w:rPr>
        <w:t xml:space="preserve">1 priedas </w:t>
      </w:r>
    </w:p>
    <w:p w14:paraId="007E8522" w14:textId="77777777" w:rsidR="00210261" w:rsidRPr="0043726C" w:rsidRDefault="00210261" w:rsidP="00210261">
      <w:pPr>
        <w:spacing w:after="0" w:line="240" w:lineRule="auto"/>
        <w:ind w:left="624" w:right="819"/>
        <w:jc w:val="right"/>
        <w:rPr>
          <w:rFonts w:ascii="Times New Roman" w:hAnsi="Times New Roman" w:cs="Times New Roman"/>
          <w:b/>
          <w:bCs/>
          <w:sz w:val="22"/>
          <w:szCs w:val="22"/>
        </w:rPr>
      </w:pPr>
    </w:p>
    <w:p w14:paraId="59FAF7EF" w14:textId="77777777" w:rsidR="00210261" w:rsidRDefault="00210261" w:rsidP="00210261">
      <w:pPr>
        <w:spacing w:after="0" w:line="240" w:lineRule="auto"/>
        <w:ind w:left="624"/>
        <w:jc w:val="center"/>
        <w:rPr>
          <w:rFonts w:ascii="Times New Roman" w:hAnsi="Times New Roman" w:cs="Times New Roman"/>
          <w:b/>
          <w:bCs/>
          <w:sz w:val="22"/>
          <w:szCs w:val="22"/>
        </w:rPr>
      </w:pPr>
      <w:r w:rsidRPr="0043726C">
        <w:rPr>
          <w:rFonts w:ascii="Times New Roman" w:hAnsi="Times New Roman" w:cs="Times New Roman"/>
          <w:b/>
          <w:bCs/>
          <w:sz w:val="22"/>
          <w:szCs w:val="22"/>
        </w:rPr>
        <w:t>Programinės įrangos ir licencijų komplektas prostatos pritaikomosioms biopsijoms</w:t>
      </w:r>
    </w:p>
    <w:p w14:paraId="13DE7A23" w14:textId="4D9DDE54" w:rsidR="00210261" w:rsidRPr="0043726C" w:rsidRDefault="00210261" w:rsidP="00210261">
      <w:pPr>
        <w:spacing w:after="0" w:line="240" w:lineRule="auto"/>
        <w:ind w:left="624"/>
        <w:jc w:val="center"/>
        <w:rPr>
          <w:rFonts w:ascii="Times New Roman" w:hAnsi="Times New Roman" w:cs="Times New Roman"/>
          <w:b/>
          <w:bCs/>
          <w:sz w:val="22"/>
          <w:szCs w:val="22"/>
        </w:rPr>
      </w:pPr>
      <w:r w:rsidRPr="0043726C">
        <w:rPr>
          <w:rFonts w:ascii="Times New Roman" w:hAnsi="Times New Roman" w:cs="Times New Roman"/>
          <w:b/>
          <w:bCs/>
          <w:sz w:val="22"/>
          <w:szCs w:val="22"/>
        </w:rPr>
        <w:t xml:space="preserve"> naudojant BMR – UG vaizdų suliejimą (angl. </w:t>
      </w:r>
      <w:proofErr w:type="spellStart"/>
      <w:r w:rsidRPr="0043726C">
        <w:rPr>
          <w:rFonts w:ascii="Times New Roman" w:hAnsi="Times New Roman" w:cs="Times New Roman"/>
          <w:b/>
          <w:bCs/>
          <w:sz w:val="22"/>
          <w:szCs w:val="22"/>
        </w:rPr>
        <w:t>Fusion</w:t>
      </w:r>
      <w:proofErr w:type="spellEnd"/>
      <w:r w:rsidRPr="0043726C">
        <w:rPr>
          <w:rFonts w:ascii="Times New Roman" w:hAnsi="Times New Roman" w:cs="Times New Roman"/>
          <w:b/>
          <w:bCs/>
          <w:sz w:val="22"/>
          <w:szCs w:val="22"/>
        </w:rPr>
        <w:t>)</w:t>
      </w:r>
      <w:r>
        <w:rPr>
          <w:rFonts w:ascii="Times New Roman" w:hAnsi="Times New Roman" w:cs="Times New Roman"/>
          <w:b/>
          <w:bCs/>
          <w:sz w:val="22"/>
          <w:szCs w:val="22"/>
        </w:rPr>
        <w:t xml:space="preserve"> </w:t>
      </w:r>
      <w:r w:rsidRPr="0043726C">
        <w:rPr>
          <w:rFonts w:ascii="Times New Roman" w:hAnsi="Times New Roman" w:cs="Times New Roman"/>
          <w:b/>
          <w:bCs/>
          <w:sz w:val="22"/>
          <w:szCs w:val="22"/>
        </w:rPr>
        <w:t>– 1 (vienas ) komplektas</w:t>
      </w:r>
    </w:p>
    <w:p w14:paraId="59003A90" w14:textId="77777777" w:rsidR="00210261" w:rsidRPr="0043726C" w:rsidRDefault="00210261" w:rsidP="00210261">
      <w:pPr>
        <w:spacing w:after="0" w:line="240" w:lineRule="auto"/>
        <w:rPr>
          <w:rFonts w:ascii="Times New Roman" w:hAnsi="Times New Roman" w:cs="Times New Roman"/>
          <w:b/>
          <w:bCs/>
          <w:sz w:val="22"/>
          <w:szCs w:val="22"/>
        </w:rPr>
      </w:pPr>
    </w:p>
    <w:tbl>
      <w:tblPr>
        <w:tblW w:w="4872"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6"/>
        <w:gridCol w:w="10485"/>
      </w:tblGrid>
      <w:tr w:rsidR="00210261" w:rsidRPr="0043726C" w14:paraId="10BC61D8" w14:textId="77777777" w:rsidTr="00953FE3">
        <w:trPr>
          <w:trHeight w:val="276"/>
          <w:tblHeader/>
        </w:trPr>
        <w:tc>
          <w:tcPr>
            <w:tcW w:w="240" w:type="pct"/>
            <w:vMerge w:val="restart"/>
            <w:shd w:val="clear" w:color="auto" w:fill="auto"/>
            <w:vAlign w:val="center"/>
          </w:tcPr>
          <w:p w14:paraId="78D37E16"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43726C">
              <w:rPr>
                <w:rFonts w:ascii="Times New Roman" w:hAnsi="Times New Roman" w:cs="Times New Roman"/>
                <w:b/>
                <w:sz w:val="22"/>
                <w:szCs w:val="22"/>
              </w:rPr>
              <w:t>Eil. Nr.</w:t>
            </w:r>
          </w:p>
        </w:tc>
        <w:tc>
          <w:tcPr>
            <w:tcW w:w="1203" w:type="pct"/>
            <w:vMerge w:val="restart"/>
            <w:shd w:val="clear" w:color="auto" w:fill="auto"/>
            <w:vAlign w:val="center"/>
          </w:tcPr>
          <w:p w14:paraId="64991D5B"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43726C">
              <w:rPr>
                <w:rFonts w:ascii="Times New Roman" w:hAnsi="Times New Roman" w:cs="Times New Roman"/>
                <w:b/>
                <w:sz w:val="22"/>
                <w:szCs w:val="22"/>
              </w:rPr>
              <w:t>Techniniai reikalavimai</w:t>
            </w:r>
          </w:p>
        </w:tc>
        <w:tc>
          <w:tcPr>
            <w:tcW w:w="3557" w:type="pct"/>
            <w:vMerge w:val="restart"/>
            <w:tcBorders>
              <w:right w:val="single" w:sz="4" w:space="0" w:color="auto"/>
            </w:tcBorders>
            <w:shd w:val="clear" w:color="auto" w:fill="auto"/>
            <w:vAlign w:val="center"/>
          </w:tcPr>
          <w:p w14:paraId="61082691"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2"/>
                <w:szCs w:val="22"/>
              </w:rPr>
            </w:pPr>
            <w:r w:rsidRPr="0043726C">
              <w:rPr>
                <w:rFonts w:ascii="Times New Roman" w:hAnsi="Times New Roman" w:cs="Times New Roman"/>
                <w:b/>
                <w:bCs/>
                <w:sz w:val="22"/>
                <w:szCs w:val="22"/>
              </w:rPr>
              <w:t>Reikalaujamos parametrų reikšmės</w:t>
            </w:r>
          </w:p>
        </w:tc>
      </w:tr>
      <w:tr w:rsidR="00210261" w:rsidRPr="0043726C" w14:paraId="4C9C4624" w14:textId="77777777" w:rsidTr="00953FE3">
        <w:trPr>
          <w:trHeight w:val="276"/>
          <w:tblHeader/>
        </w:trPr>
        <w:tc>
          <w:tcPr>
            <w:tcW w:w="240" w:type="pct"/>
            <w:vMerge/>
            <w:shd w:val="clear" w:color="auto" w:fill="auto"/>
            <w:vAlign w:val="center"/>
          </w:tcPr>
          <w:p w14:paraId="260254CA"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vMerge/>
            <w:shd w:val="clear" w:color="auto" w:fill="auto"/>
            <w:vAlign w:val="center"/>
          </w:tcPr>
          <w:p w14:paraId="427BA180"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3557" w:type="pct"/>
            <w:vMerge/>
            <w:tcBorders>
              <w:right w:val="single" w:sz="4" w:space="0" w:color="auto"/>
            </w:tcBorders>
            <w:shd w:val="clear" w:color="auto" w:fill="auto"/>
            <w:vAlign w:val="center"/>
          </w:tcPr>
          <w:p w14:paraId="1BEF765B"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r>
      <w:tr w:rsidR="00210261" w:rsidRPr="0043726C" w14:paraId="48440542" w14:textId="77777777" w:rsidTr="00953FE3">
        <w:trPr>
          <w:trHeight w:val="276"/>
          <w:tblHeader/>
        </w:trPr>
        <w:tc>
          <w:tcPr>
            <w:tcW w:w="240" w:type="pct"/>
            <w:vMerge/>
            <w:shd w:val="clear" w:color="auto" w:fill="auto"/>
            <w:vAlign w:val="center"/>
          </w:tcPr>
          <w:p w14:paraId="223BBF0D"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vMerge/>
            <w:shd w:val="clear" w:color="auto" w:fill="auto"/>
            <w:vAlign w:val="center"/>
          </w:tcPr>
          <w:p w14:paraId="691D25BE"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3557" w:type="pct"/>
            <w:vMerge/>
            <w:tcBorders>
              <w:right w:val="single" w:sz="4" w:space="0" w:color="auto"/>
            </w:tcBorders>
            <w:shd w:val="clear" w:color="auto" w:fill="auto"/>
            <w:vAlign w:val="center"/>
          </w:tcPr>
          <w:p w14:paraId="1E3DE9EE" w14:textId="77777777" w:rsidR="00210261" w:rsidRPr="0043726C" w:rsidRDefault="00210261" w:rsidP="00953FE3">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r>
      <w:tr w:rsidR="00210261" w:rsidRPr="0043726C" w14:paraId="69FD0770" w14:textId="77777777" w:rsidTr="00953FE3">
        <w:trPr>
          <w:trHeight w:val="393"/>
        </w:trPr>
        <w:tc>
          <w:tcPr>
            <w:tcW w:w="240" w:type="pct"/>
            <w:shd w:val="clear" w:color="auto" w:fill="auto"/>
          </w:tcPr>
          <w:p w14:paraId="748A9ED9" w14:textId="77777777" w:rsidR="00210261" w:rsidRPr="0043726C" w:rsidRDefault="00210261" w:rsidP="00953FE3">
            <w:pPr>
              <w:pStyle w:val="Sraopastraipa"/>
              <w:numPr>
                <w:ilvl w:val="0"/>
                <w:numId w:val="1"/>
              </w:num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tcPr>
          <w:p w14:paraId="04FCDDED" w14:textId="77777777" w:rsidR="00210261" w:rsidRPr="0043726C" w:rsidRDefault="00210261" w:rsidP="00953FE3">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Programinės įrangos paskirtis</w:t>
            </w:r>
          </w:p>
        </w:tc>
        <w:tc>
          <w:tcPr>
            <w:tcW w:w="3557" w:type="pct"/>
            <w:tcBorders>
              <w:right w:val="single" w:sz="4" w:space="0" w:color="auto"/>
            </w:tcBorders>
            <w:vAlign w:val="center"/>
          </w:tcPr>
          <w:p w14:paraId="73DA8092"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1. Aprašyti, įvertinti ir apibrėžti prostatos BMR tomografijos tyrimo rezultatus pagal greitam vaizdų suliejimui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reikalingą protokolą;</w:t>
            </w:r>
          </w:p>
          <w:p w14:paraId="20835914"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2. Atlikti pritaikomąsias prostatos biopsijos realaus laiko ultragarsinio vaizdo kontrolėje, sujungiant jį su prostatos BMR tyrimo aprašu;</w:t>
            </w:r>
          </w:p>
        </w:tc>
      </w:tr>
      <w:tr w:rsidR="00210261" w:rsidRPr="0043726C" w14:paraId="1D362930" w14:textId="77777777" w:rsidTr="00953FE3">
        <w:tc>
          <w:tcPr>
            <w:tcW w:w="240" w:type="pct"/>
            <w:shd w:val="clear" w:color="auto" w:fill="auto"/>
          </w:tcPr>
          <w:p w14:paraId="2B135637" w14:textId="77777777" w:rsidR="00210261" w:rsidRPr="0043726C" w:rsidRDefault="00210261" w:rsidP="00953FE3">
            <w:pPr>
              <w:pStyle w:val="Sraopastraipa"/>
              <w:numPr>
                <w:ilvl w:val="0"/>
                <w:numId w:val="1"/>
              </w:num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tcPr>
          <w:p w14:paraId="1FDF3F7E" w14:textId="77777777" w:rsidR="00210261" w:rsidRPr="0043726C" w:rsidRDefault="00210261" w:rsidP="00953FE3">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Programinės įrangos suderinamumas</w:t>
            </w:r>
          </w:p>
        </w:tc>
        <w:tc>
          <w:tcPr>
            <w:tcW w:w="3557" w:type="pct"/>
            <w:tcBorders>
              <w:right w:val="single" w:sz="4" w:space="0" w:color="auto"/>
            </w:tcBorders>
          </w:tcPr>
          <w:p w14:paraId="52939180" w14:textId="44AA3A8E" w:rsidR="00210261" w:rsidRPr="0043726C" w:rsidRDefault="00210261" w:rsidP="00953FE3">
            <w:pPr>
              <w:tabs>
                <w:tab w:val="left" w:pos="264"/>
                <w:tab w:val="left" w:pos="467"/>
              </w:tabs>
              <w:spacing w:after="0" w:line="240" w:lineRule="auto"/>
              <w:jc w:val="both"/>
              <w:rPr>
                <w:rFonts w:ascii="Times New Roman" w:eastAsia="Times New Roman" w:hAnsi="Times New Roman" w:cs="Times New Roman"/>
                <w:iCs/>
                <w:sz w:val="22"/>
                <w:szCs w:val="22"/>
              </w:rPr>
            </w:pPr>
            <w:r w:rsidRPr="0043726C">
              <w:rPr>
                <w:rFonts w:ascii="Times New Roman" w:eastAsia="Times New Roman" w:hAnsi="Times New Roman" w:cs="Times New Roman"/>
                <w:iCs/>
                <w:sz w:val="22"/>
                <w:szCs w:val="22"/>
              </w:rPr>
              <w:t xml:space="preserve">1. Programinė įranga turi būti tinkama instaliuoti tiesiogiai į Nacionalinio vėžio instituto (toliau – NVI) nuosavybės teise priklausantį ekspertinės klasės urologinį echoskopą </w:t>
            </w:r>
            <w:r w:rsidRPr="00D423F4">
              <w:rPr>
                <w:rFonts w:ascii="Times New Roman" w:eastAsia="Times New Roman" w:hAnsi="Times New Roman" w:cs="Times New Roman"/>
                <w:iCs/>
                <w:sz w:val="22"/>
                <w:szCs w:val="22"/>
              </w:rPr>
              <w:t>bk5000 (2022 metų), bei radiologinę darbo stotį (kompiuterį), Įrangos techninės charakteristikos pridedamos</w:t>
            </w:r>
            <w:r w:rsidR="003E50DB">
              <w:rPr>
                <w:rFonts w:ascii="Times New Roman" w:eastAsia="Times New Roman" w:hAnsi="Times New Roman" w:cs="Times New Roman"/>
                <w:iCs/>
                <w:sz w:val="22"/>
                <w:szCs w:val="22"/>
              </w:rPr>
              <w:t xml:space="preserve"> (žr. Techninės specifikacijos priedą)</w:t>
            </w:r>
            <w:r w:rsidRPr="00D423F4">
              <w:rPr>
                <w:rFonts w:ascii="Times New Roman" w:eastAsia="Times New Roman" w:hAnsi="Times New Roman" w:cs="Times New Roman"/>
                <w:iCs/>
                <w:sz w:val="22"/>
                <w:szCs w:val="22"/>
              </w:rPr>
              <w:t>;</w:t>
            </w:r>
          </w:p>
          <w:p w14:paraId="0241B558" w14:textId="77777777" w:rsidR="00210261" w:rsidRPr="0043726C" w:rsidRDefault="00210261" w:rsidP="00953FE3">
            <w:pPr>
              <w:tabs>
                <w:tab w:val="left" w:pos="264"/>
                <w:tab w:val="left" w:pos="467"/>
              </w:tabs>
              <w:spacing w:after="0" w:line="240" w:lineRule="auto"/>
              <w:jc w:val="both"/>
              <w:rPr>
                <w:rFonts w:ascii="Times New Roman" w:eastAsia="Times New Roman" w:hAnsi="Times New Roman" w:cs="Times New Roman"/>
                <w:iCs/>
                <w:sz w:val="22"/>
                <w:szCs w:val="22"/>
              </w:rPr>
            </w:pPr>
            <w:r w:rsidRPr="0043726C">
              <w:rPr>
                <w:rFonts w:ascii="Times New Roman" w:eastAsia="Times New Roman" w:hAnsi="Times New Roman" w:cs="Times New Roman"/>
                <w:iCs/>
                <w:sz w:val="22"/>
                <w:szCs w:val="22"/>
              </w:rPr>
              <w:t xml:space="preserve">2. Vaizdų suliejimo režime programinė įranga echoskopo ekrane turi automatiškai atpažinti NVI nuosavybės teise priklausantį ultragarso daviklį E14CL4b, naudojamą prostatos punkcijoms per </w:t>
            </w:r>
            <w:proofErr w:type="spellStart"/>
            <w:r w:rsidRPr="0043726C">
              <w:rPr>
                <w:rFonts w:ascii="Times New Roman" w:eastAsia="Times New Roman" w:hAnsi="Times New Roman" w:cs="Times New Roman"/>
                <w:iCs/>
                <w:sz w:val="22"/>
                <w:szCs w:val="22"/>
              </w:rPr>
              <w:t>tarpvietę</w:t>
            </w:r>
            <w:proofErr w:type="spellEnd"/>
            <w:r w:rsidRPr="0043726C">
              <w:rPr>
                <w:rFonts w:ascii="Times New Roman" w:eastAsia="Times New Roman" w:hAnsi="Times New Roman" w:cs="Times New Roman"/>
                <w:iCs/>
                <w:sz w:val="22"/>
                <w:szCs w:val="22"/>
              </w:rPr>
              <w:t xml:space="preserve"> vizualizuoti;</w:t>
            </w:r>
          </w:p>
          <w:p w14:paraId="2DD69C47" w14:textId="77777777" w:rsidR="00210261" w:rsidRPr="0043726C" w:rsidRDefault="00210261" w:rsidP="00953FE3">
            <w:pPr>
              <w:tabs>
                <w:tab w:val="left" w:pos="264"/>
                <w:tab w:val="left" w:pos="467"/>
              </w:tabs>
              <w:spacing w:after="0" w:line="240" w:lineRule="auto"/>
              <w:jc w:val="both"/>
              <w:rPr>
                <w:rFonts w:ascii="Times New Roman" w:eastAsia="Times New Roman" w:hAnsi="Times New Roman" w:cs="Times New Roman"/>
                <w:iCs/>
                <w:sz w:val="22"/>
                <w:szCs w:val="22"/>
              </w:rPr>
            </w:pPr>
            <w:r w:rsidRPr="0043726C">
              <w:rPr>
                <w:rFonts w:ascii="Times New Roman" w:eastAsia="Times New Roman" w:hAnsi="Times New Roman" w:cs="Times New Roman"/>
                <w:iCs/>
                <w:sz w:val="22"/>
                <w:szCs w:val="22"/>
              </w:rPr>
              <w:t>3. Programinė įranga turi būti tinkama įvairių gamintojų BMR tomografo atliktiems tyrimams apdoroti.</w:t>
            </w:r>
          </w:p>
        </w:tc>
      </w:tr>
      <w:tr w:rsidR="00210261" w:rsidRPr="0043726C" w14:paraId="092C9FEB" w14:textId="77777777" w:rsidTr="00953FE3">
        <w:tc>
          <w:tcPr>
            <w:tcW w:w="240" w:type="pct"/>
            <w:shd w:val="clear" w:color="auto" w:fill="auto"/>
          </w:tcPr>
          <w:p w14:paraId="41D6D54D" w14:textId="77777777" w:rsidR="00210261" w:rsidRPr="0043726C" w:rsidRDefault="00210261" w:rsidP="00953FE3">
            <w:pPr>
              <w:pStyle w:val="Sraopastraipa"/>
              <w:numPr>
                <w:ilvl w:val="0"/>
                <w:numId w:val="1"/>
              </w:num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tcPr>
          <w:p w14:paraId="69C1D405" w14:textId="77777777" w:rsidR="00210261" w:rsidRPr="0043726C" w:rsidRDefault="00210261" w:rsidP="00953FE3">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Reikalavimai programinei įrangai ir licencijoms</w:t>
            </w:r>
          </w:p>
        </w:tc>
        <w:tc>
          <w:tcPr>
            <w:tcW w:w="3557" w:type="pct"/>
            <w:tcBorders>
              <w:right w:val="single" w:sz="4" w:space="0" w:color="auto"/>
            </w:tcBorders>
          </w:tcPr>
          <w:p w14:paraId="4BEFB6FB"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1. Echoskopui skirta programinė įranga turi leisti atlikti prostatos BMR tomografijos vaizdų apdorojimą, tinkamą tolimesniam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biopsijų atlikimui, naudojant tik echoskopo ekraną bei valdymo panelę;</w:t>
            </w:r>
          </w:p>
          <w:p w14:paraId="464B9BFE"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2. Echoskopui skirta programinė įranga ir licencija turi leisti atlikti pritaikomąsias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xml:space="preserve">” biopsijas per </w:t>
            </w:r>
            <w:proofErr w:type="spellStart"/>
            <w:r w:rsidRPr="0043726C">
              <w:rPr>
                <w:rFonts w:ascii="Times New Roman" w:hAnsi="Times New Roman" w:cs="Times New Roman"/>
                <w:sz w:val="22"/>
                <w:szCs w:val="22"/>
              </w:rPr>
              <w:t>tarpvietę</w:t>
            </w:r>
            <w:proofErr w:type="spellEnd"/>
            <w:r w:rsidRPr="0043726C">
              <w:rPr>
                <w:rFonts w:ascii="Times New Roman" w:hAnsi="Times New Roman" w:cs="Times New Roman"/>
                <w:sz w:val="22"/>
                <w:szCs w:val="22"/>
              </w:rPr>
              <w:t xml:space="preserve"> laisvos rankos režimu (</w:t>
            </w:r>
            <w:proofErr w:type="spellStart"/>
            <w:r w:rsidRPr="0043726C">
              <w:rPr>
                <w:rFonts w:ascii="Times New Roman" w:hAnsi="Times New Roman" w:cs="Times New Roman"/>
                <w:sz w:val="22"/>
                <w:szCs w:val="22"/>
              </w:rPr>
              <w:t>Freehand</w:t>
            </w:r>
            <w:proofErr w:type="spellEnd"/>
            <w:r w:rsidRPr="0043726C">
              <w:rPr>
                <w:rFonts w:ascii="Times New Roman" w:hAnsi="Times New Roman" w:cs="Times New Roman"/>
                <w:sz w:val="22"/>
                <w:szCs w:val="22"/>
              </w:rPr>
              <w:t xml:space="preserve">), </w:t>
            </w:r>
            <w:proofErr w:type="spellStart"/>
            <w:r w:rsidRPr="0043726C">
              <w:rPr>
                <w:rFonts w:ascii="Times New Roman" w:hAnsi="Times New Roman" w:cs="Times New Roman"/>
                <w:sz w:val="22"/>
                <w:szCs w:val="22"/>
              </w:rPr>
              <w:t>t.y</w:t>
            </w:r>
            <w:proofErr w:type="spellEnd"/>
            <w:r w:rsidRPr="0043726C">
              <w:rPr>
                <w:rFonts w:ascii="Times New Roman" w:hAnsi="Times New Roman" w:cs="Times New Roman"/>
                <w:sz w:val="22"/>
                <w:szCs w:val="22"/>
              </w:rPr>
              <w:t>. nenaudojant daviklio stabilizacijos įrenginių;</w:t>
            </w:r>
          </w:p>
          <w:p w14:paraId="5DAC2CD3"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3. Radiologinei darbo stočiai (kompiuteriui) skirta programinė įranga ir licencija turi leisti apdoroti ir paruošti prostatos BMR tomografijos tyrimo rezultatus ir eksportuoti juos į echoskopą per USB laikmeną bei per ligoninės tinklą DICOM formatu;</w:t>
            </w:r>
          </w:p>
          <w:p w14:paraId="3140746B"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 xml:space="preserve">4. Programinė įranga turi būti instaliuojama ir likti funkcionali neribotą laiką kol bus naudojamas NVI priklausantis echoskopas bk5000, licencijų galiojimo trukmė - </w:t>
            </w:r>
            <w:r w:rsidRPr="00AA7126">
              <w:rPr>
                <w:rFonts w:ascii="Times New Roman" w:hAnsi="Times New Roman" w:cs="Times New Roman"/>
                <w:color w:val="FF0000"/>
                <w:sz w:val="22"/>
                <w:szCs w:val="22"/>
              </w:rPr>
              <w:t>ne mažiau kaip 12 mėnesių</w:t>
            </w:r>
            <w:r w:rsidRPr="0043726C">
              <w:rPr>
                <w:rFonts w:ascii="Times New Roman" w:hAnsi="Times New Roman" w:cs="Times New Roman"/>
                <w:sz w:val="22"/>
                <w:szCs w:val="22"/>
              </w:rPr>
              <w:t>;</w:t>
            </w:r>
          </w:p>
          <w:p w14:paraId="10BEF794"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 xml:space="preserve">5. Programinė įranga turi užtikrinti galimybę ateityje komplektą papildyti licencijomis </w:t>
            </w:r>
            <w:proofErr w:type="spellStart"/>
            <w:r w:rsidRPr="0043726C">
              <w:rPr>
                <w:rFonts w:ascii="Times New Roman" w:hAnsi="Times New Roman" w:cs="Times New Roman"/>
                <w:sz w:val="22"/>
                <w:szCs w:val="22"/>
              </w:rPr>
              <w:t>transperininėms</w:t>
            </w:r>
            <w:proofErr w:type="spellEnd"/>
            <w:r w:rsidRPr="0043726C">
              <w:rPr>
                <w:rFonts w:ascii="Times New Roman" w:hAnsi="Times New Roman" w:cs="Times New Roman"/>
                <w:sz w:val="22"/>
                <w:szCs w:val="22"/>
              </w:rPr>
              <w:t xml:space="preserve">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xml:space="preserve">” biopsijoms su daviklio stabilizatoriumi ir </w:t>
            </w:r>
            <w:proofErr w:type="spellStart"/>
            <w:r w:rsidRPr="0043726C">
              <w:rPr>
                <w:rFonts w:ascii="Times New Roman" w:hAnsi="Times New Roman" w:cs="Times New Roman"/>
                <w:sz w:val="22"/>
                <w:szCs w:val="22"/>
              </w:rPr>
              <w:t>žingsniuokliu</w:t>
            </w:r>
            <w:proofErr w:type="spellEnd"/>
            <w:r w:rsidRPr="0043726C">
              <w:rPr>
                <w:rFonts w:ascii="Times New Roman" w:hAnsi="Times New Roman" w:cs="Times New Roman"/>
                <w:sz w:val="22"/>
                <w:szCs w:val="22"/>
              </w:rPr>
              <w:t xml:space="preserve"> bei </w:t>
            </w:r>
            <w:proofErr w:type="spellStart"/>
            <w:r w:rsidRPr="0043726C">
              <w:rPr>
                <w:rFonts w:ascii="Times New Roman" w:hAnsi="Times New Roman" w:cs="Times New Roman"/>
                <w:sz w:val="22"/>
                <w:szCs w:val="22"/>
              </w:rPr>
              <w:t>transrektalinėmis</w:t>
            </w:r>
            <w:proofErr w:type="spellEnd"/>
            <w:r w:rsidRPr="0043726C">
              <w:rPr>
                <w:rFonts w:ascii="Times New Roman" w:hAnsi="Times New Roman" w:cs="Times New Roman"/>
                <w:sz w:val="22"/>
                <w:szCs w:val="22"/>
              </w:rPr>
              <w:t xml:space="preserve">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biopsijomis pagal “</w:t>
            </w:r>
            <w:proofErr w:type="spellStart"/>
            <w:r w:rsidRPr="0043726C">
              <w:rPr>
                <w:rFonts w:ascii="Times New Roman" w:hAnsi="Times New Roman" w:cs="Times New Roman"/>
                <w:sz w:val="22"/>
                <w:szCs w:val="22"/>
              </w:rPr>
              <w:t>sidefire</w:t>
            </w:r>
            <w:proofErr w:type="spellEnd"/>
            <w:r w:rsidRPr="0043726C">
              <w:rPr>
                <w:rFonts w:ascii="Times New Roman" w:hAnsi="Times New Roman" w:cs="Times New Roman"/>
                <w:sz w:val="22"/>
                <w:szCs w:val="22"/>
              </w:rPr>
              <w:t>” ir “</w:t>
            </w:r>
            <w:proofErr w:type="spellStart"/>
            <w:r w:rsidRPr="0043726C">
              <w:rPr>
                <w:rFonts w:ascii="Times New Roman" w:hAnsi="Times New Roman" w:cs="Times New Roman"/>
                <w:sz w:val="22"/>
                <w:szCs w:val="22"/>
              </w:rPr>
              <w:t>endfire</w:t>
            </w:r>
            <w:proofErr w:type="spellEnd"/>
            <w:r w:rsidRPr="0043726C">
              <w:rPr>
                <w:rFonts w:ascii="Times New Roman" w:hAnsi="Times New Roman" w:cs="Times New Roman"/>
                <w:sz w:val="22"/>
                <w:szCs w:val="22"/>
              </w:rPr>
              <w:t xml:space="preserve">” metodikas naudojant NVI nuosavybės teise priklausantį </w:t>
            </w:r>
            <w:proofErr w:type="spellStart"/>
            <w:r w:rsidRPr="0043726C">
              <w:rPr>
                <w:rFonts w:ascii="Times New Roman" w:hAnsi="Times New Roman" w:cs="Times New Roman"/>
                <w:sz w:val="22"/>
                <w:szCs w:val="22"/>
              </w:rPr>
              <w:t>transrektalinių</w:t>
            </w:r>
            <w:proofErr w:type="spellEnd"/>
            <w:r w:rsidRPr="0043726C">
              <w:rPr>
                <w:rFonts w:ascii="Times New Roman" w:hAnsi="Times New Roman" w:cs="Times New Roman"/>
                <w:sz w:val="22"/>
                <w:szCs w:val="22"/>
              </w:rPr>
              <w:t xml:space="preserve"> prostatos punkcijų daviklį E14C4t prie to paties echoskopo.</w:t>
            </w:r>
          </w:p>
        </w:tc>
      </w:tr>
      <w:tr w:rsidR="00210261" w:rsidRPr="0043726C" w14:paraId="6A1CF0D1" w14:textId="77777777" w:rsidTr="00953FE3">
        <w:tc>
          <w:tcPr>
            <w:tcW w:w="240" w:type="pct"/>
            <w:shd w:val="clear" w:color="auto" w:fill="auto"/>
          </w:tcPr>
          <w:p w14:paraId="0FFFA1DD" w14:textId="77777777" w:rsidR="00210261" w:rsidRPr="0043726C" w:rsidRDefault="00210261" w:rsidP="00953FE3">
            <w:pPr>
              <w:pStyle w:val="Sraopastraipa"/>
              <w:numPr>
                <w:ilvl w:val="0"/>
                <w:numId w:val="1"/>
              </w:num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tcPr>
          <w:p w14:paraId="5CF14432" w14:textId="77777777" w:rsidR="00210261" w:rsidRPr="0043726C" w:rsidRDefault="00210261" w:rsidP="00953FE3">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Reikalavimai vaizdų suliejimo technologijai</w:t>
            </w:r>
          </w:p>
        </w:tc>
        <w:tc>
          <w:tcPr>
            <w:tcW w:w="3557" w:type="pct"/>
            <w:tcBorders>
              <w:right w:val="single" w:sz="4" w:space="0" w:color="auto"/>
            </w:tcBorders>
          </w:tcPr>
          <w:p w14:paraId="2ED212BF"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1. Technologija turi būti paremta “</w:t>
            </w:r>
            <w:proofErr w:type="spellStart"/>
            <w:r w:rsidRPr="0043726C">
              <w:rPr>
                <w:rFonts w:ascii="Times New Roman" w:hAnsi="Times New Roman" w:cs="Times New Roman"/>
                <w:sz w:val="22"/>
                <w:szCs w:val="22"/>
              </w:rPr>
              <w:t>Predictive</w:t>
            </w:r>
            <w:proofErr w:type="spellEnd"/>
            <w:r w:rsidRPr="0043726C">
              <w:rPr>
                <w:rFonts w:ascii="Times New Roman" w:hAnsi="Times New Roman" w:cs="Times New Roman"/>
                <w:sz w:val="22"/>
                <w:szCs w:val="22"/>
              </w:rPr>
              <w:t xml:space="preserve">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xml:space="preserve">” arba lygiaverte metodika, naudojančia virtualaus </w:t>
            </w:r>
            <w:proofErr w:type="spellStart"/>
            <w:r w:rsidRPr="0043726C">
              <w:rPr>
                <w:rFonts w:ascii="Times New Roman" w:hAnsi="Times New Roman" w:cs="Times New Roman"/>
                <w:sz w:val="22"/>
                <w:szCs w:val="22"/>
              </w:rPr>
              <w:t>ultargarsinio</w:t>
            </w:r>
            <w:proofErr w:type="spellEnd"/>
            <w:r w:rsidRPr="0043726C">
              <w:rPr>
                <w:rFonts w:ascii="Times New Roman" w:hAnsi="Times New Roman" w:cs="Times New Roman"/>
                <w:sz w:val="22"/>
                <w:szCs w:val="22"/>
              </w:rPr>
              <w:t xml:space="preserve"> ultragarsinio daviklio įvedimą BMR tomografijos vaizde, kai eliminuojamas erdvinis (geometrinis) prostatos vaizdo pjūvių skirtumas tarp tai pačiai pjūvio plokštumai priskiriamų BMR ir UG vaizdo pjūvių dėl skirtingos paciento padėties BMR tomografijos tyrimo ir prostatos biopsijų per </w:t>
            </w:r>
            <w:proofErr w:type="spellStart"/>
            <w:r w:rsidRPr="0043726C">
              <w:rPr>
                <w:rFonts w:ascii="Times New Roman" w:hAnsi="Times New Roman" w:cs="Times New Roman"/>
                <w:sz w:val="22"/>
                <w:szCs w:val="22"/>
              </w:rPr>
              <w:t>tarpvietę</w:t>
            </w:r>
            <w:proofErr w:type="spellEnd"/>
            <w:r w:rsidRPr="0043726C">
              <w:rPr>
                <w:rFonts w:ascii="Times New Roman" w:hAnsi="Times New Roman" w:cs="Times New Roman"/>
                <w:sz w:val="22"/>
                <w:szCs w:val="22"/>
              </w:rPr>
              <w:t xml:space="preserve"> metu;</w:t>
            </w:r>
          </w:p>
          <w:p w14:paraId="4C260865" w14:textId="77777777" w:rsidR="00210261" w:rsidRPr="0043726C" w:rsidRDefault="00210261" w:rsidP="00953FE3">
            <w:pPr>
              <w:tabs>
                <w:tab w:val="left" w:pos="264"/>
              </w:tabs>
              <w:spacing w:after="0" w:line="240" w:lineRule="auto"/>
              <w:jc w:val="both"/>
              <w:rPr>
                <w:rFonts w:ascii="Times New Roman" w:hAnsi="Times New Roman" w:cs="Times New Roman"/>
                <w:sz w:val="22"/>
                <w:szCs w:val="22"/>
              </w:rPr>
            </w:pPr>
            <w:r w:rsidRPr="0043726C">
              <w:rPr>
                <w:rFonts w:ascii="Times New Roman" w:hAnsi="Times New Roman" w:cs="Times New Roman"/>
                <w:sz w:val="22"/>
                <w:szCs w:val="22"/>
              </w:rPr>
              <w:t xml:space="preserve">2. Technologija turi užtikrinti BMR ir UG vaizdų suliejimą be </w:t>
            </w:r>
            <w:proofErr w:type="spellStart"/>
            <w:r w:rsidRPr="0043726C">
              <w:rPr>
                <w:rFonts w:ascii="Times New Roman" w:hAnsi="Times New Roman" w:cs="Times New Roman"/>
                <w:sz w:val="22"/>
                <w:szCs w:val="22"/>
              </w:rPr>
              <w:t>ultargarsinio</w:t>
            </w:r>
            <w:proofErr w:type="spellEnd"/>
            <w:r w:rsidRPr="0043726C">
              <w:rPr>
                <w:rFonts w:ascii="Times New Roman" w:hAnsi="Times New Roman" w:cs="Times New Roman"/>
                <w:sz w:val="22"/>
                <w:szCs w:val="22"/>
              </w:rPr>
              <w:t xml:space="preserve"> prostatos vaizdo ir židinių </w:t>
            </w:r>
            <w:proofErr w:type="spellStart"/>
            <w:r w:rsidRPr="0043726C">
              <w:rPr>
                <w:rFonts w:ascii="Times New Roman" w:hAnsi="Times New Roman" w:cs="Times New Roman"/>
                <w:sz w:val="22"/>
                <w:szCs w:val="22"/>
              </w:rPr>
              <w:t>kontūravimo</w:t>
            </w:r>
            <w:proofErr w:type="spellEnd"/>
            <w:r w:rsidRPr="0043726C">
              <w:rPr>
                <w:rFonts w:ascii="Times New Roman" w:hAnsi="Times New Roman" w:cs="Times New Roman"/>
                <w:sz w:val="22"/>
                <w:szCs w:val="22"/>
              </w:rPr>
              <w:t xml:space="preserve"> daugybiniuose pjūviuose pagal BMR tomografijos pjūvius bei vaizdų kalibravimo;</w:t>
            </w:r>
          </w:p>
        </w:tc>
      </w:tr>
      <w:tr w:rsidR="00210261" w:rsidRPr="0043726C" w14:paraId="7993430F" w14:textId="77777777" w:rsidTr="00953FE3">
        <w:tc>
          <w:tcPr>
            <w:tcW w:w="240" w:type="pct"/>
            <w:shd w:val="clear" w:color="auto" w:fill="auto"/>
          </w:tcPr>
          <w:p w14:paraId="734F71DE" w14:textId="77777777" w:rsidR="00210261" w:rsidRPr="0043726C" w:rsidRDefault="00210261" w:rsidP="00953FE3">
            <w:pPr>
              <w:pStyle w:val="Sraopastraipa"/>
              <w:numPr>
                <w:ilvl w:val="0"/>
                <w:numId w:val="1"/>
              </w:num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1203" w:type="pct"/>
          </w:tcPr>
          <w:p w14:paraId="49D039B9" w14:textId="77777777" w:rsidR="00210261" w:rsidRPr="0043726C" w:rsidRDefault="00210261" w:rsidP="00953FE3">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 xml:space="preserve">Reikalavimai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xml:space="preserve"> biopsijų procedūroms</w:t>
            </w:r>
          </w:p>
        </w:tc>
        <w:tc>
          <w:tcPr>
            <w:tcW w:w="3557" w:type="pct"/>
            <w:tcBorders>
              <w:right w:val="single" w:sz="4" w:space="0" w:color="auto"/>
            </w:tcBorders>
          </w:tcPr>
          <w:p w14:paraId="54435396" w14:textId="77777777" w:rsidR="00210261" w:rsidRPr="0043726C" w:rsidRDefault="00210261" w:rsidP="00953FE3">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 xml:space="preserve">1.Numatoma pritaikomosios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xml:space="preserve"> biopsijos trukmė – ne ilgiau kaip 7 minutės;</w:t>
            </w:r>
          </w:p>
          <w:p w14:paraId="35EA721E" w14:textId="77777777" w:rsidR="00210261" w:rsidRPr="0043726C" w:rsidRDefault="00210261" w:rsidP="00953FE3">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2.Transperininės pritaikomosios “</w:t>
            </w:r>
            <w:proofErr w:type="spellStart"/>
            <w:r w:rsidRPr="0043726C">
              <w:rPr>
                <w:rFonts w:ascii="Times New Roman" w:hAnsi="Times New Roman" w:cs="Times New Roman"/>
                <w:sz w:val="22"/>
                <w:szCs w:val="22"/>
              </w:rPr>
              <w:t>Fusion</w:t>
            </w:r>
            <w:proofErr w:type="spellEnd"/>
            <w:r w:rsidRPr="0043726C">
              <w:rPr>
                <w:rFonts w:ascii="Times New Roman" w:hAnsi="Times New Roman" w:cs="Times New Roman"/>
                <w:sz w:val="22"/>
                <w:szCs w:val="22"/>
              </w:rPr>
              <w:t>” biopsijos laisvų rankų režimu naudojant E14CL4b daviklį;</w:t>
            </w:r>
          </w:p>
          <w:p w14:paraId="7E28AD74" w14:textId="77777777" w:rsidR="00210261" w:rsidRPr="0043726C" w:rsidRDefault="00210261" w:rsidP="00953FE3">
            <w:pPr>
              <w:tabs>
                <w:tab w:val="left" w:pos="264"/>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43726C">
              <w:rPr>
                <w:rFonts w:ascii="Times New Roman" w:hAnsi="Times New Roman" w:cs="Times New Roman"/>
                <w:sz w:val="22"/>
                <w:szCs w:val="22"/>
              </w:rPr>
              <w:t>3. Galimos biopsijos naudojant tik vietinį nuskausminimą;</w:t>
            </w:r>
          </w:p>
        </w:tc>
      </w:tr>
    </w:tbl>
    <w:p w14:paraId="33B2B526" w14:textId="77777777" w:rsidR="00210261" w:rsidRPr="0043726C" w:rsidRDefault="00210261" w:rsidP="00210261">
      <w:pPr>
        <w:jc w:val="both"/>
        <w:rPr>
          <w:rFonts w:ascii="Times New Roman" w:hAnsi="Times New Roman" w:cs="Times New Roman"/>
          <w:sz w:val="22"/>
          <w:szCs w:val="22"/>
        </w:rPr>
      </w:pPr>
    </w:p>
    <w:p w14:paraId="6994043F" w14:textId="435599C6" w:rsidR="001E28EB" w:rsidRPr="004029BE" w:rsidRDefault="00984667" w:rsidP="00EB3D81">
      <w:pPr>
        <w:spacing w:after="0"/>
        <w:ind w:left="446"/>
        <w:rPr>
          <w:rFonts w:ascii="Times New Roman" w:hAnsi="Times New Roman" w:cs="Times New Roman"/>
          <w:b/>
          <w:bCs/>
        </w:rPr>
      </w:pPr>
      <w:r w:rsidRPr="004029BE">
        <w:rPr>
          <w:rFonts w:ascii="Times New Roman" w:hAnsi="Times New Roman" w:cs="Times New Roman"/>
          <w:b/>
          <w:bCs/>
        </w:rPr>
        <w:t>Kiti reikalavimai:</w:t>
      </w:r>
    </w:p>
    <w:p w14:paraId="003CA62D" w14:textId="77777777" w:rsidR="00EB3D81" w:rsidRPr="00D423F4" w:rsidRDefault="00EB3D81" w:rsidP="00E65823">
      <w:pPr>
        <w:tabs>
          <w:tab w:val="left" w:pos="264"/>
          <w:tab w:val="left" w:pos="868"/>
          <w:tab w:val="left" w:pos="1151"/>
          <w:tab w:val="left" w:pos="1451"/>
        </w:tabs>
        <w:suppressAutoHyphens/>
        <w:autoSpaceDN w:val="0"/>
        <w:spacing w:after="0" w:line="240" w:lineRule="auto"/>
        <w:ind w:left="446" w:firstLine="630"/>
        <w:jc w:val="both"/>
        <w:textAlignment w:val="baseline"/>
        <w:rPr>
          <w:rFonts w:ascii="Times New Roman" w:eastAsiaTheme="minorHAnsi" w:hAnsi="Times New Roman" w:cs="Times New Roman"/>
          <w:sz w:val="22"/>
          <w:szCs w:val="22"/>
        </w:rPr>
      </w:pPr>
      <w:r w:rsidRPr="00D423F4">
        <w:rPr>
          <w:rFonts w:ascii="Times New Roman" w:eastAsiaTheme="minorHAnsi" w:hAnsi="Times New Roman" w:cs="Times New Roman"/>
          <w:sz w:val="22"/>
          <w:szCs w:val="22"/>
        </w:rPr>
        <w:t>1. Programinės įrangos dokumentai turi būti lietuvių arba anglų kalba. Programinė įrangos sisteminiai pranešimai turi būti anglų arba lietuvių kalba. Gamintojo interneto svetainėje tvarkyklių ir dokumentų paieška turi būti pateikiama anglų arba lietuvių kalba.</w:t>
      </w:r>
    </w:p>
    <w:p w14:paraId="24CA0C58" w14:textId="73D5C10F" w:rsidR="00EB3D81" w:rsidRPr="00D423F4" w:rsidRDefault="00EB3D81" w:rsidP="00096460">
      <w:pPr>
        <w:keepNext/>
        <w:spacing w:after="0" w:line="240" w:lineRule="auto"/>
        <w:ind w:left="446" w:firstLine="634"/>
        <w:jc w:val="both"/>
        <w:outlineLvl w:val="0"/>
        <w:rPr>
          <w:rFonts w:ascii="Times New Roman" w:eastAsia="Times New Roman" w:hAnsi="Times New Roman" w:cs="Times New Roman"/>
          <w:bCs/>
          <w:sz w:val="22"/>
          <w:szCs w:val="22"/>
        </w:rPr>
      </w:pPr>
      <w:r w:rsidRPr="00D423F4">
        <w:rPr>
          <w:rFonts w:ascii="Times New Roman" w:eastAsia="Times New Roman" w:hAnsi="Times New Roman" w:cs="Times New Roman"/>
          <w:bCs/>
          <w:sz w:val="22"/>
          <w:szCs w:val="22"/>
        </w:rPr>
        <w:t xml:space="preserve">2. </w:t>
      </w:r>
      <w:r w:rsidR="00096460" w:rsidRPr="00D423F4">
        <w:rPr>
          <w:rFonts w:ascii="Times New Roman" w:eastAsia="Times New Roman" w:hAnsi="Times New Roman" w:cs="Times New Roman"/>
          <w:bCs/>
          <w:sz w:val="22"/>
          <w:szCs w:val="22"/>
        </w:rPr>
        <w:t xml:space="preserve">Nustačius, kad įsigytoje programinėje įrangoje yra įdiegtas įtartinas, šnipinėjantis ar kokia kita kenkėjiška veikla užsiimantis programinis kodas, tai būtų </w:t>
      </w:r>
      <w:r w:rsidR="00096460" w:rsidRPr="00096460">
        <w:rPr>
          <w:rFonts w:ascii="Times New Roman" w:eastAsia="Times New Roman" w:hAnsi="Times New Roman" w:cs="Times New Roman"/>
          <w:bCs/>
          <w:sz w:val="22"/>
          <w:szCs w:val="22"/>
        </w:rPr>
        <w:t xml:space="preserve">traktuojama kaip reikalavimų neatitikimas ir sutarties sąlygų nesilaikymas, o įranga gražinama tiekėjui, arba keičiama nauja </w:t>
      </w:r>
      <w:r w:rsidR="00096460" w:rsidRPr="00096460">
        <w:rPr>
          <w:rFonts w:ascii="Times New Roman" w:eastAsia="Times New Roman" w:hAnsi="Times New Roman" w:cs="Times New Roman"/>
          <w:bCs/>
          <w:sz w:val="22"/>
          <w:szCs w:val="22"/>
        </w:rPr>
        <w:t>lygiaverte</w:t>
      </w:r>
      <w:r w:rsidR="00096460" w:rsidRPr="00096460">
        <w:rPr>
          <w:rFonts w:ascii="Times New Roman" w:eastAsia="Times New Roman" w:hAnsi="Times New Roman" w:cs="Times New Roman"/>
          <w:bCs/>
          <w:sz w:val="22"/>
          <w:szCs w:val="22"/>
        </w:rPr>
        <w:t xml:space="preserve"> ar geresne, tačiau saugumo reikalavimus atitinkančia įranga</w:t>
      </w:r>
      <w:r w:rsidR="00096460" w:rsidRPr="00096460">
        <w:rPr>
          <w:rFonts w:ascii="Times New Roman" w:eastAsia="Times New Roman" w:hAnsi="Times New Roman" w:cs="Times New Roman"/>
          <w:bCs/>
          <w:sz w:val="22"/>
          <w:szCs w:val="22"/>
        </w:rPr>
        <w:t>.</w:t>
      </w:r>
    </w:p>
    <w:p w14:paraId="7BA621BD" w14:textId="362600DB" w:rsidR="00EB3D81" w:rsidRPr="00E65823" w:rsidRDefault="00E65823" w:rsidP="00E65823">
      <w:pPr>
        <w:tabs>
          <w:tab w:val="left" w:pos="1080"/>
        </w:tabs>
        <w:spacing w:after="0" w:line="240" w:lineRule="auto"/>
        <w:ind w:left="446"/>
        <w:jc w:val="both"/>
        <w:rPr>
          <w:rFonts w:ascii="Times New Roman" w:eastAsia="Times New Roman" w:hAnsi="Times New Roman" w:cs="Times New Roman"/>
          <w:sz w:val="22"/>
          <w:szCs w:val="22"/>
        </w:rPr>
      </w:pPr>
      <w:r>
        <w:rPr>
          <w:rFonts w:ascii="Times New Roman" w:hAnsi="Times New Roman" w:cs="Times New Roman"/>
        </w:rPr>
        <w:tab/>
      </w:r>
      <w:r>
        <w:rPr>
          <w:rFonts w:ascii="Times New Roman" w:eastAsia="Times New Roman" w:hAnsi="Times New Roman" w:cs="Times New Roman"/>
          <w:sz w:val="22"/>
          <w:szCs w:val="22"/>
        </w:rPr>
        <w:t>3</w:t>
      </w:r>
      <w:r w:rsidRPr="00D423F4">
        <w:rPr>
          <w:rFonts w:ascii="Times New Roman" w:eastAsia="Times New Roman" w:hAnsi="Times New Roman" w:cs="Times New Roman"/>
          <w:sz w:val="22"/>
          <w:szCs w:val="22"/>
        </w:rPr>
        <w:t xml:space="preserve">. Licencijos sąlygos turi leisti iš gamintojo svetainės parsisiųsti ir naudoti paskutinę programinės įrangos versiją bei atnaujinimus ir gauti palaikymą tiesiogiai </w:t>
      </w:r>
      <w:r w:rsidRPr="00E65823">
        <w:rPr>
          <w:rFonts w:ascii="Times New Roman" w:eastAsia="Times New Roman" w:hAnsi="Times New Roman" w:cs="Times New Roman"/>
          <w:sz w:val="22"/>
          <w:szCs w:val="22"/>
        </w:rPr>
        <w:t xml:space="preserve">iš programinės įrangos gamintojo (24/7/365  techninė pagalba) </w:t>
      </w:r>
      <w:r w:rsidRPr="00AA7126">
        <w:rPr>
          <w:rFonts w:ascii="Times New Roman" w:eastAsia="Times New Roman" w:hAnsi="Times New Roman" w:cs="Times New Roman"/>
          <w:color w:val="FF0000"/>
          <w:sz w:val="22"/>
          <w:szCs w:val="22"/>
        </w:rPr>
        <w:t>ne trumpiau kaip 12 mėn</w:t>
      </w:r>
      <w:r w:rsidRPr="00E65823">
        <w:rPr>
          <w:rFonts w:ascii="Times New Roman" w:eastAsia="Times New Roman" w:hAnsi="Times New Roman" w:cs="Times New Roman"/>
          <w:sz w:val="22"/>
          <w:szCs w:val="22"/>
        </w:rPr>
        <w:t>. Palaikymas teikiamas telefonu, elektroniniu paštu, nuotoliniu prisijungimu.</w:t>
      </w:r>
    </w:p>
    <w:p w14:paraId="54ABD110" w14:textId="6332656F" w:rsidR="00E65823" w:rsidRPr="00E65823" w:rsidRDefault="00E65823" w:rsidP="00E65823">
      <w:pPr>
        <w:tabs>
          <w:tab w:val="left" w:pos="1080"/>
        </w:tabs>
        <w:spacing w:after="0" w:line="240" w:lineRule="auto"/>
        <w:ind w:left="446"/>
        <w:jc w:val="both"/>
        <w:rPr>
          <w:rFonts w:ascii="Times New Roman" w:hAnsi="Times New Roman" w:cs="Times New Roman"/>
          <w:sz w:val="22"/>
          <w:szCs w:val="22"/>
        </w:rPr>
      </w:pPr>
      <w:r w:rsidRPr="00E65823">
        <w:rPr>
          <w:rFonts w:ascii="Times New Roman" w:eastAsia="Times New Roman" w:hAnsi="Times New Roman" w:cs="Times New Roman"/>
          <w:sz w:val="22"/>
          <w:szCs w:val="22"/>
        </w:rPr>
        <w:tab/>
        <w:t xml:space="preserve">4. </w:t>
      </w:r>
      <w:r w:rsidRPr="00E65823">
        <w:rPr>
          <w:rFonts w:ascii="Times New Roman" w:hAnsi="Times New Roman" w:cs="Times New Roman"/>
          <w:sz w:val="22"/>
          <w:szCs w:val="22"/>
        </w:rPr>
        <w:t xml:space="preserve">Radiologams arba/ir urologams turi būti suteikti techniniai apmokymai naudotis programine įranga apdorojant ir </w:t>
      </w:r>
      <w:proofErr w:type="spellStart"/>
      <w:r w:rsidRPr="00E65823">
        <w:rPr>
          <w:rFonts w:ascii="Times New Roman" w:hAnsi="Times New Roman" w:cs="Times New Roman"/>
          <w:sz w:val="22"/>
          <w:szCs w:val="22"/>
        </w:rPr>
        <w:t>Fusion</w:t>
      </w:r>
      <w:proofErr w:type="spellEnd"/>
      <w:r w:rsidRPr="00E65823">
        <w:rPr>
          <w:rFonts w:ascii="Times New Roman" w:hAnsi="Times New Roman" w:cs="Times New Roman"/>
          <w:sz w:val="22"/>
          <w:szCs w:val="22"/>
        </w:rPr>
        <w:t xml:space="preserve"> biopsijoms paruošiant prostatos BMR tomografijos tyrimus.</w:t>
      </w:r>
    </w:p>
    <w:p w14:paraId="48E8C3B2" w14:textId="7A24F137" w:rsidR="00E65823" w:rsidRDefault="00E65823" w:rsidP="00E65823">
      <w:pPr>
        <w:tabs>
          <w:tab w:val="left" w:pos="1080"/>
        </w:tabs>
        <w:spacing w:after="0" w:line="240" w:lineRule="auto"/>
        <w:ind w:left="446"/>
        <w:jc w:val="both"/>
        <w:rPr>
          <w:rFonts w:ascii="Times New Roman" w:hAnsi="Times New Roman" w:cs="Times New Roman"/>
          <w:sz w:val="22"/>
          <w:szCs w:val="22"/>
        </w:rPr>
      </w:pPr>
      <w:r w:rsidRPr="00E65823">
        <w:rPr>
          <w:rFonts w:ascii="Times New Roman" w:hAnsi="Times New Roman" w:cs="Times New Roman"/>
          <w:sz w:val="22"/>
          <w:szCs w:val="22"/>
        </w:rPr>
        <w:tab/>
      </w:r>
      <w:r>
        <w:rPr>
          <w:rFonts w:ascii="Times New Roman" w:hAnsi="Times New Roman" w:cs="Times New Roman"/>
          <w:sz w:val="22"/>
          <w:szCs w:val="22"/>
        </w:rPr>
        <w:t xml:space="preserve">5. </w:t>
      </w:r>
      <w:proofErr w:type="spellStart"/>
      <w:r w:rsidRPr="00E65823">
        <w:rPr>
          <w:rFonts w:ascii="Times New Roman" w:hAnsi="Times New Roman" w:cs="Times New Roman"/>
          <w:sz w:val="22"/>
          <w:szCs w:val="22"/>
        </w:rPr>
        <w:t>Transperininių</w:t>
      </w:r>
      <w:proofErr w:type="spellEnd"/>
      <w:r w:rsidRPr="00E65823">
        <w:rPr>
          <w:rFonts w:ascii="Times New Roman" w:hAnsi="Times New Roman" w:cs="Times New Roman"/>
          <w:sz w:val="22"/>
          <w:szCs w:val="22"/>
        </w:rPr>
        <w:t xml:space="preserve"> </w:t>
      </w:r>
      <w:proofErr w:type="spellStart"/>
      <w:r w:rsidRPr="00E65823">
        <w:rPr>
          <w:rFonts w:ascii="Times New Roman" w:hAnsi="Times New Roman" w:cs="Times New Roman"/>
          <w:sz w:val="22"/>
          <w:szCs w:val="22"/>
        </w:rPr>
        <w:t>Fusion</w:t>
      </w:r>
      <w:proofErr w:type="spellEnd"/>
      <w:r w:rsidRPr="00E65823">
        <w:rPr>
          <w:rFonts w:ascii="Times New Roman" w:hAnsi="Times New Roman" w:cs="Times New Roman"/>
          <w:sz w:val="22"/>
          <w:szCs w:val="22"/>
        </w:rPr>
        <w:t xml:space="preserve"> biopsijų atlikimo apmokymai ne mažiau kaip 2 žmonėms.</w:t>
      </w:r>
    </w:p>
    <w:p w14:paraId="586B18E4" w14:textId="77777777" w:rsidR="00780364" w:rsidRDefault="00780364" w:rsidP="00E65823">
      <w:pPr>
        <w:tabs>
          <w:tab w:val="left" w:pos="1080"/>
        </w:tabs>
        <w:spacing w:after="0" w:line="240" w:lineRule="auto"/>
        <w:ind w:left="446"/>
        <w:jc w:val="both"/>
        <w:rPr>
          <w:rFonts w:ascii="Times New Roman" w:hAnsi="Times New Roman" w:cs="Times New Roman"/>
          <w:sz w:val="22"/>
          <w:szCs w:val="22"/>
        </w:rPr>
      </w:pPr>
    </w:p>
    <w:p w14:paraId="5B083923" w14:textId="3482D626" w:rsidR="00780364" w:rsidRPr="00984667" w:rsidRDefault="00780364" w:rsidP="00E65823">
      <w:pPr>
        <w:tabs>
          <w:tab w:val="left" w:pos="1080"/>
        </w:tabs>
        <w:spacing w:after="0" w:line="240" w:lineRule="auto"/>
        <w:ind w:left="446"/>
        <w:jc w:val="both"/>
        <w:rPr>
          <w:rFonts w:ascii="Times New Roman" w:hAnsi="Times New Roman" w:cs="Times New Roman"/>
        </w:rPr>
      </w:pPr>
      <w:r>
        <w:rPr>
          <w:rFonts w:ascii="Times New Roman" w:eastAsia="Times New Roman" w:hAnsi="Times New Roman" w:cs="Times New Roman"/>
          <w:iCs/>
          <w:sz w:val="22"/>
          <w:szCs w:val="22"/>
        </w:rPr>
        <w:t xml:space="preserve">PRIDEDAMA. </w:t>
      </w:r>
      <w:r w:rsidRPr="00D423F4">
        <w:rPr>
          <w:rFonts w:ascii="Times New Roman" w:eastAsia="Times New Roman" w:hAnsi="Times New Roman" w:cs="Times New Roman"/>
          <w:iCs/>
          <w:sz w:val="22"/>
          <w:szCs w:val="22"/>
        </w:rPr>
        <w:t>Įrangos techninės charakteristikos</w:t>
      </w:r>
      <w:r>
        <w:rPr>
          <w:rFonts w:ascii="Times New Roman" w:eastAsia="Times New Roman" w:hAnsi="Times New Roman" w:cs="Times New Roman"/>
          <w:iCs/>
          <w:sz w:val="22"/>
          <w:szCs w:val="22"/>
        </w:rPr>
        <w:t>.</w:t>
      </w:r>
    </w:p>
    <w:sectPr w:rsidR="00780364" w:rsidRPr="00984667" w:rsidSect="00210261">
      <w:headerReference w:type="default" r:id="rId7"/>
      <w:pgSz w:w="16838" w:h="11906" w:orient="landscape"/>
      <w:pgMar w:top="1170" w:right="851" w:bottom="567" w:left="851" w:header="119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E940C" w14:textId="77777777" w:rsidR="004005A8" w:rsidRDefault="004005A8">
      <w:pPr>
        <w:spacing w:after="0" w:line="240" w:lineRule="auto"/>
      </w:pPr>
      <w:r>
        <w:separator/>
      </w:r>
    </w:p>
  </w:endnote>
  <w:endnote w:type="continuationSeparator" w:id="0">
    <w:p w14:paraId="713BA641" w14:textId="77777777" w:rsidR="004005A8" w:rsidRDefault="0040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C735C" w14:textId="77777777" w:rsidR="004005A8" w:rsidRDefault="004005A8">
      <w:pPr>
        <w:spacing w:after="0" w:line="240" w:lineRule="auto"/>
      </w:pPr>
      <w:r>
        <w:separator/>
      </w:r>
    </w:p>
  </w:footnote>
  <w:footnote w:type="continuationSeparator" w:id="0">
    <w:p w14:paraId="3B3AA92A" w14:textId="77777777" w:rsidR="004005A8" w:rsidRDefault="0040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271251"/>
      <w:docPartObj>
        <w:docPartGallery w:val="Page Numbers (Top of Page)"/>
        <w:docPartUnique/>
      </w:docPartObj>
    </w:sdtPr>
    <w:sdtEndPr/>
    <w:sdtContent>
      <w:p w14:paraId="69DC406E" w14:textId="77777777" w:rsidR="00210261" w:rsidRDefault="00210261" w:rsidP="00226045">
        <w:pPr>
          <w:pStyle w:val="Antrats"/>
          <w:jc w:val="center"/>
        </w:pPr>
        <w:r>
          <w:fldChar w:fldCharType="begin"/>
        </w:r>
        <w:r>
          <w:instrText>PAGE   \* MERGEFORMAT</w:instrText>
        </w:r>
        <w:r>
          <w:fldChar w:fldCharType="separate"/>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94FA2"/>
    <w:multiLevelType w:val="hybridMultilevel"/>
    <w:tmpl w:val="741CB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462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61"/>
    <w:rsid w:val="00096460"/>
    <w:rsid w:val="001E28EB"/>
    <w:rsid w:val="00210261"/>
    <w:rsid w:val="003E50DB"/>
    <w:rsid w:val="004005A8"/>
    <w:rsid w:val="004029BE"/>
    <w:rsid w:val="004A2299"/>
    <w:rsid w:val="006324C8"/>
    <w:rsid w:val="00711B40"/>
    <w:rsid w:val="00780364"/>
    <w:rsid w:val="00984667"/>
    <w:rsid w:val="00AA7126"/>
    <w:rsid w:val="00B738F4"/>
    <w:rsid w:val="00C03F4B"/>
    <w:rsid w:val="00C662E6"/>
    <w:rsid w:val="00CF793D"/>
    <w:rsid w:val="00D239B5"/>
    <w:rsid w:val="00D34352"/>
    <w:rsid w:val="00DA4313"/>
    <w:rsid w:val="00E65823"/>
    <w:rsid w:val="00EB3D81"/>
    <w:rsid w:val="00EF3CEB"/>
    <w:rsid w:val="00F35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2E7C"/>
  <w15:chartTrackingRefBased/>
  <w15:docId w15:val="{32FC00A3-A25C-49D2-AC48-0B602786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261"/>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210261"/>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0261"/>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2102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26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3008</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9</cp:revision>
  <dcterms:created xsi:type="dcterms:W3CDTF">2024-12-12T13:10:00Z</dcterms:created>
  <dcterms:modified xsi:type="dcterms:W3CDTF">2024-12-18T11:03:00Z</dcterms:modified>
</cp:coreProperties>
</file>