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49E3" w14:textId="77777777" w:rsidR="00A3415C" w:rsidRPr="007C6E9B" w:rsidRDefault="00A3415C" w:rsidP="00C97810">
      <w:pPr>
        <w:pStyle w:val="BodyA"/>
        <w:spacing w:line="240" w:lineRule="auto"/>
        <w:jc w:val="right"/>
        <w:rPr>
          <w:rFonts w:ascii="Times New Roman" w:eastAsia="Times New Roman" w:hAnsi="Times New Roman" w:cs="Times New Roman"/>
          <w:color w:val="auto"/>
          <w:lang w:val="lt-LT"/>
        </w:rPr>
      </w:pPr>
      <w:bookmarkStart w:id="0" w:name="_Hlk150930913"/>
      <w:r w:rsidRPr="007C6E9B">
        <w:rPr>
          <w:rFonts w:ascii="Times New Roman" w:eastAsia="Times New Roman" w:hAnsi="Times New Roman" w:cs="Times New Roman"/>
          <w:color w:val="auto"/>
          <w:lang w:val="lt-LT"/>
        </w:rPr>
        <w:t>Pirkimo sąlygų</w:t>
      </w:r>
    </w:p>
    <w:p w14:paraId="25E96302" w14:textId="30E94A4A" w:rsidR="00A3415C" w:rsidRDefault="00C97810" w:rsidP="00C97810">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3</w:t>
      </w:r>
      <w:r w:rsidR="00A3415C" w:rsidRPr="007C6E9B">
        <w:rPr>
          <w:rFonts w:ascii="Times New Roman" w:eastAsia="Times New Roman" w:hAnsi="Times New Roman" w:cs="Times New Roman"/>
          <w:color w:val="auto"/>
          <w:lang w:val="lt-LT"/>
        </w:rPr>
        <w:t xml:space="preserve"> priedas „</w:t>
      </w:r>
      <w:r w:rsidR="00A3415C" w:rsidRPr="007C6E9B">
        <w:rPr>
          <w:rFonts w:ascii="Times New Roman" w:hAnsi="Times New Roman" w:cs="Times New Roman"/>
          <w:b/>
          <w:bCs/>
          <w:lang w:val="lt-LT"/>
        </w:rPr>
        <w:t>Kokybės kriterijai ir jų vertinimas</w:t>
      </w:r>
      <w:r w:rsidR="00A3415C" w:rsidRPr="007C6E9B">
        <w:rPr>
          <w:rFonts w:ascii="Times New Roman" w:eastAsia="Times New Roman" w:hAnsi="Times New Roman" w:cs="Times New Roman"/>
          <w:color w:val="auto"/>
          <w:lang w:val="lt-LT"/>
        </w:rPr>
        <w:t>“</w:t>
      </w:r>
    </w:p>
    <w:p w14:paraId="0E4C218C" w14:textId="77777777" w:rsidR="00374DD1" w:rsidRDefault="00374DD1" w:rsidP="00C97810">
      <w:pPr>
        <w:pStyle w:val="BodyA"/>
        <w:spacing w:line="240" w:lineRule="auto"/>
        <w:jc w:val="right"/>
        <w:rPr>
          <w:rFonts w:ascii="Times New Roman" w:eastAsia="Times New Roman" w:hAnsi="Times New Roman" w:cs="Times New Roman"/>
          <w:color w:val="auto"/>
          <w:lang w:val="lt-LT"/>
        </w:rPr>
      </w:pPr>
    </w:p>
    <w:p w14:paraId="677F32B0" w14:textId="77777777" w:rsidR="00C97810" w:rsidRDefault="00C97810" w:rsidP="00C97810">
      <w:pPr>
        <w:pStyle w:val="BodyA"/>
        <w:spacing w:line="240" w:lineRule="auto"/>
        <w:jc w:val="right"/>
        <w:rPr>
          <w:rFonts w:ascii="Times New Roman" w:eastAsia="Times New Roman" w:hAnsi="Times New Roman" w:cs="Times New Roman"/>
          <w:color w:val="auto"/>
          <w:lang w:val="lt-LT"/>
        </w:rPr>
      </w:pPr>
    </w:p>
    <w:p w14:paraId="28FBBE77" w14:textId="0559CC1E" w:rsidR="00C97810" w:rsidRPr="00C97810" w:rsidRDefault="00C97810" w:rsidP="00C97810">
      <w:pPr>
        <w:pStyle w:val="BodyA"/>
        <w:spacing w:line="240" w:lineRule="auto"/>
        <w:jc w:val="center"/>
        <w:rPr>
          <w:rFonts w:ascii="Times New Roman" w:eastAsia="Times New Roman" w:hAnsi="Times New Roman" w:cs="Times New Roman"/>
          <w:b/>
          <w:bCs/>
          <w:color w:val="auto"/>
          <w:lang w:val="lt-LT"/>
        </w:rPr>
      </w:pPr>
      <w:r w:rsidRPr="00C97810">
        <w:rPr>
          <w:rFonts w:ascii="Times New Roman" w:eastAsia="Times New Roman" w:hAnsi="Times New Roman" w:cs="Times New Roman"/>
          <w:b/>
          <w:bCs/>
          <w:sz w:val="24"/>
          <w:szCs w:val="24"/>
          <w:lang w:val="lt-LT"/>
        </w:rPr>
        <w:t>KOKYBĖS KRITERIJAI IR JŲ VERTINIMAS</w:t>
      </w:r>
    </w:p>
    <w:bookmarkEnd w:id="0"/>
    <w:p w14:paraId="08565F32" w14:textId="77777777" w:rsidR="00C464CF" w:rsidRDefault="00C464CF" w:rsidP="00C97810">
      <w:pPr>
        <w:widowControl w:val="0"/>
        <w:pBdr>
          <w:top w:val="nil"/>
          <w:left w:val="nil"/>
          <w:bottom w:val="nil"/>
          <w:right w:val="nil"/>
          <w:between w:val="nil"/>
        </w:pBdr>
        <w:jc w:val="right"/>
      </w:pPr>
    </w:p>
    <w:p w14:paraId="748EB7B5" w14:textId="77777777" w:rsidR="00C464CF" w:rsidRDefault="00525B05" w:rsidP="00C961EB">
      <w:pPr>
        <w:numPr>
          <w:ilvl w:val="0"/>
          <w:numId w:val="1"/>
        </w:numPr>
        <w:pBdr>
          <w:top w:val="nil"/>
          <w:left w:val="nil"/>
          <w:bottom w:val="nil"/>
          <w:right w:val="nil"/>
          <w:between w:val="nil"/>
        </w:pBdr>
        <w:tabs>
          <w:tab w:val="left" w:pos="567"/>
        </w:tabs>
        <w:ind w:left="0" w:firstLine="426"/>
        <w:jc w:val="both"/>
        <w:rPr>
          <w:color w:val="000000"/>
        </w:rPr>
      </w:pPr>
      <w:bookmarkStart w:id="1" w:name="_heading=h.gjdgxs" w:colFirst="0" w:colLast="0"/>
      <w:bookmarkEnd w:id="1"/>
      <w:r>
        <w:rPr>
          <w:color w:val="000000"/>
        </w:rPr>
        <w:t xml:space="preserve">Perkančioji organizacija ekonomiškai naudingiausią pasiūlymą išrenka pagal </w:t>
      </w:r>
      <w:r w:rsidRPr="00AA1711">
        <w:rPr>
          <w:b/>
          <w:bCs/>
          <w:color w:val="000000"/>
        </w:rPr>
        <w:t>kainos/sąnaudų ir kokybės santykį.</w:t>
      </w:r>
    </w:p>
    <w:p w14:paraId="222AA3F3" w14:textId="77777777" w:rsidR="00C464CF" w:rsidRDefault="00525B05" w:rsidP="00C961EB">
      <w:pPr>
        <w:numPr>
          <w:ilvl w:val="0"/>
          <w:numId w:val="1"/>
        </w:numPr>
        <w:pBdr>
          <w:top w:val="nil"/>
          <w:left w:val="nil"/>
          <w:bottom w:val="nil"/>
          <w:right w:val="nil"/>
          <w:between w:val="nil"/>
        </w:pBdr>
        <w:tabs>
          <w:tab w:val="left" w:pos="567"/>
        </w:tabs>
        <w:ind w:left="0" w:firstLine="426"/>
        <w:jc w:val="both"/>
        <w:rPr>
          <w:color w:val="000000"/>
        </w:rPr>
      </w:pPr>
      <w:r>
        <w:rPr>
          <w:color w:val="000000"/>
        </w:rPr>
        <w:t>Ekonomiškai naudingiausias pasiūlymas bus išrenkamas pagal šiuos kiekybinius/kokybinius vertinimo kriterijus:</w:t>
      </w:r>
    </w:p>
    <w:tbl>
      <w:tblPr>
        <w:tblStyle w:val="a1"/>
        <w:tblW w:w="9624"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6648"/>
        <w:gridCol w:w="2976"/>
      </w:tblGrid>
      <w:tr w:rsidR="00C464CF" w14:paraId="1946A834" w14:textId="77777777" w:rsidTr="00AA1711">
        <w:tc>
          <w:tcPr>
            <w:tcW w:w="6648" w:type="dxa"/>
            <w:shd w:val="clear" w:color="auto" w:fill="F2F2F2" w:themeFill="background1" w:themeFillShade="F2"/>
            <w:vAlign w:val="center"/>
          </w:tcPr>
          <w:p w14:paraId="347E9AFD" w14:textId="77777777" w:rsidR="00C464CF" w:rsidRDefault="00525B05" w:rsidP="00C97810">
            <w:pPr>
              <w:jc w:val="center"/>
              <w:rPr>
                <w:b/>
                <w:sz w:val="22"/>
                <w:szCs w:val="22"/>
              </w:rPr>
            </w:pPr>
            <w:r>
              <w:rPr>
                <w:b/>
                <w:sz w:val="22"/>
                <w:szCs w:val="22"/>
              </w:rPr>
              <w:t>Vertinimo kriterijai</w:t>
            </w:r>
          </w:p>
        </w:tc>
        <w:tc>
          <w:tcPr>
            <w:tcW w:w="2976" w:type="dxa"/>
            <w:shd w:val="clear" w:color="auto" w:fill="F2F2F2" w:themeFill="background1" w:themeFillShade="F2"/>
            <w:vAlign w:val="center"/>
          </w:tcPr>
          <w:p w14:paraId="780CAC9B" w14:textId="77777777" w:rsidR="00C464CF" w:rsidRDefault="00525B05" w:rsidP="00C97810">
            <w:pPr>
              <w:jc w:val="center"/>
              <w:rPr>
                <w:b/>
                <w:sz w:val="22"/>
                <w:szCs w:val="22"/>
              </w:rPr>
            </w:pPr>
            <w:r>
              <w:rPr>
                <w:b/>
                <w:sz w:val="22"/>
                <w:szCs w:val="22"/>
              </w:rPr>
              <w:t xml:space="preserve">Kriterijaus lyginamasis svoris arba </w:t>
            </w:r>
            <w:proofErr w:type="spellStart"/>
            <w:r>
              <w:rPr>
                <w:b/>
                <w:sz w:val="22"/>
                <w:szCs w:val="22"/>
              </w:rPr>
              <w:t>max</w:t>
            </w:r>
            <w:proofErr w:type="spellEnd"/>
            <w:r>
              <w:rPr>
                <w:b/>
                <w:sz w:val="22"/>
                <w:szCs w:val="22"/>
              </w:rPr>
              <w:t xml:space="preserve"> skiriamo balo reikšmė</w:t>
            </w:r>
          </w:p>
        </w:tc>
      </w:tr>
      <w:tr w:rsidR="00C464CF" w14:paraId="2F2E4D6F" w14:textId="77777777" w:rsidTr="00AA1711">
        <w:tc>
          <w:tcPr>
            <w:tcW w:w="6648" w:type="dxa"/>
          </w:tcPr>
          <w:p w14:paraId="46AF89F6" w14:textId="77777777" w:rsidR="00C464CF" w:rsidRDefault="00525B05" w:rsidP="00C97810">
            <w:pPr>
              <w:jc w:val="both"/>
              <w:rPr>
                <w:sz w:val="22"/>
                <w:szCs w:val="22"/>
              </w:rPr>
            </w:pPr>
            <w:r>
              <w:rPr>
                <w:b/>
                <w:sz w:val="22"/>
                <w:szCs w:val="22"/>
              </w:rPr>
              <w:t>Pirmas kriterijus</w:t>
            </w:r>
            <w:r>
              <w:rPr>
                <w:sz w:val="22"/>
                <w:szCs w:val="22"/>
              </w:rPr>
              <w:t xml:space="preserve"> – kaina (C).</w:t>
            </w:r>
          </w:p>
        </w:tc>
        <w:tc>
          <w:tcPr>
            <w:tcW w:w="2976" w:type="dxa"/>
            <w:vAlign w:val="center"/>
          </w:tcPr>
          <w:p w14:paraId="574C8F9D" w14:textId="23378555" w:rsidR="00C464CF" w:rsidRDefault="00525B05" w:rsidP="00C97810">
            <w:pPr>
              <w:jc w:val="center"/>
              <w:rPr>
                <w:b/>
                <w:color w:val="FF0000"/>
                <w:sz w:val="22"/>
                <w:szCs w:val="22"/>
              </w:rPr>
            </w:pPr>
            <w:r>
              <w:rPr>
                <w:b/>
                <w:sz w:val="22"/>
                <w:szCs w:val="22"/>
              </w:rPr>
              <w:t xml:space="preserve">X = </w:t>
            </w:r>
            <w:r w:rsidR="00BA2891">
              <w:rPr>
                <w:b/>
                <w:sz w:val="22"/>
                <w:szCs w:val="22"/>
              </w:rPr>
              <w:t>90</w:t>
            </w:r>
          </w:p>
        </w:tc>
      </w:tr>
      <w:tr w:rsidR="00C464CF" w14:paraId="02765F91" w14:textId="77777777" w:rsidTr="00AA1711">
        <w:tc>
          <w:tcPr>
            <w:tcW w:w="6648" w:type="dxa"/>
          </w:tcPr>
          <w:p w14:paraId="7ADD8EFC" w14:textId="500868FD" w:rsidR="00C464CF" w:rsidRPr="00F8587B" w:rsidRDefault="00463558" w:rsidP="00C97810">
            <w:pPr>
              <w:jc w:val="both"/>
              <w:rPr>
                <w:b/>
                <w:sz w:val="22"/>
                <w:szCs w:val="22"/>
              </w:rPr>
            </w:pPr>
            <w:r>
              <w:rPr>
                <w:b/>
                <w:sz w:val="22"/>
                <w:szCs w:val="22"/>
              </w:rPr>
              <w:t>Antras</w:t>
            </w:r>
            <w:r w:rsidR="00525B05">
              <w:rPr>
                <w:b/>
                <w:sz w:val="22"/>
                <w:szCs w:val="22"/>
              </w:rPr>
              <w:t xml:space="preserve"> kriterijus </w:t>
            </w:r>
            <w:r w:rsidR="00F8587B">
              <w:rPr>
                <w:b/>
                <w:sz w:val="22"/>
                <w:szCs w:val="22"/>
              </w:rPr>
              <w:t xml:space="preserve">– </w:t>
            </w:r>
            <w:r w:rsidR="00FE32EF">
              <w:rPr>
                <w:sz w:val="22"/>
                <w:szCs w:val="22"/>
              </w:rPr>
              <w:t>D</w:t>
            </w:r>
            <w:r w:rsidR="00FE32EF" w:rsidRPr="00FE32EF">
              <w:rPr>
                <w:sz w:val="22"/>
                <w:szCs w:val="22"/>
              </w:rPr>
              <w:t xml:space="preserve">arbų atlikimui įdarbintų nepalankioje padėtyje esančių specialistų skaičius </w:t>
            </w:r>
            <w:r w:rsidR="00525B05">
              <w:rPr>
                <w:sz w:val="22"/>
                <w:szCs w:val="22"/>
              </w:rPr>
              <w:t>(</w:t>
            </w:r>
            <w:r w:rsidR="00FE32EF">
              <w:rPr>
                <w:sz w:val="22"/>
                <w:szCs w:val="22"/>
              </w:rPr>
              <w:t>T</w:t>
            </w:r>
            <w:r w:rsidR="00525B05">
              <w:rPr>
                <w:sz w:val="22"/>
                <w:szCs w:val="22"/>
              </w:rPr>
              <w:t>)</w:t>
            </w:r>
          </w:p>
        </w:tc>
        <w:tc>
          <w:tcPr>
            <w:tcW w:w="2976" w:type="dxa"/>
            <w:vAlign w:val="center"/>
          </w:tcPr>
          <w:p w14:paraId="20C3613F" w14:textId="3FB30617" w:rsidR="00C464CF" w:rsidRDefault="00525B05" w:rsidP="00C97810">
            <w:pPr>
              <w:jc w:val="center"/>
              <w:rPr>
                <w:b/>
                <w:sz w:val="22"/>
                <w:szCs w:val="22"/>
              </w:rPr>
            </w:pPr>
            <w:proofErr w:type="spellStart"/>
            <w:r>
              <w:rPr>
                <w:b/>
                <w:sz w:val="22"/>
                <w:szCs w:val="22"/>
              </w:rPr>
              <w:t>Max</w:t>
            </w:r>
            <w:proofErr w:type="spellEnd"/>
            <w:r>
              <w:rPr>
                <w:b/>
                <w:sz w:val="22"/>
                <w:szCs w:val="22"/>
              </w:rPr>
              <w:t xml:space="preserve">. </w:t>
            </w:r>
            <w:r w:rsidR="00BA2891">
              <w:rPr>
                <w:b/>
                <w:sz w:val="22"/>
                <w:szCs w:val="22"/>
              </w:rPr>
              <w:t>10</w:t>
            </w:r>
            <w:r>
              <w:rPr>
                <w:b/>
                <w:sz w:val="22"/>
                <w:szCs w:val="22"/>
              </w:rPr>
              <w:t xml:space="preserve"> balai</w:t>
            </w:r>
          </w:p>
        </w:tc>
      </w:tr>
    </w:tbl>
    <w:p w14:paraId="123D0190" w14:textId="77777777" w:rsidR="00C464CF" w:rsidRDefault="00525B05" w:rsidP="00C961EB">
      <w:pPr>
        <w:numPr>
          <w:ilvl w:val="0"/>
          <w:numId w:val="1"/>
        </w:numPr>
        <w:pBdr>
          <w:top w:val="nil"/>
          <w:left w:val="nil"/>
          <w:bottom w:val="nil"/>
          <w:right w:val="nil"/>
          <w:between w:val="nil"/>
        </w:pBdr>
        <w:tabs>
          <w:tab w:val="left" w:pos="567"/>
        </w:tabs>
        <w:ind w:left="0" w:firstLine="426"/>
        <w:jc w:val="both"/>
        <w:rPr>
          <w:color w:val="000000"/>
        </w:rPr>
      </w:pPr>
      <w:r>
        <w:rPr>
          <w:color w:val="000000"/>
        </w:rPr>
        <w:t>Ekonominis naudingumas (S) apskaičiuojamas sudedant tiekėjo pasiūlymo kainos C ir kitų kriterijų (T) balus:</w:t>
      </w:r>
    </w:p>
    <w:p w14:paraId="2B0D5C8E" w14:textId="5F71A136" w:rsidR="00C464CF" w:rsidRDefault="00525B05" w:rsidP="00AA1711">
      <w:pPr>
        <w:ind w:firstLine="794"/>
        <w:jc w:val="center"/>
        <w:rPr>
          <w:vertAlign w:val="subscript"/>
        </w:rPr>
      </w:pPr>
      <w:r>
        <w:t>S=C</w:t>
      </w:r>
      <w:r w:rsidR="00D93BF1">
        <w:rPr>
          <w:szCs w:val="24"/>
        </w:rPr>
        <w:t>+</w:t>
      </w:r>
      <w:r w:rsidR="00522393" w:rsidRPr="00522393">
        <w:rPr>
          <w:szCs w:val="24"/>
        </w:rPr>
        <w:t>T</w:t>
      </w:r>
    </w:p>
    <w:p w14:paraId="3AA47E11" w14:textId="77777777" w:rsidR="00C464CF" w:rsidRDefault="00C464CF" w:rsidP="00C97810">
      <w:pPr>
        <w:ind w:firstLine="794"/>
        <w:jc w:val="both"/>
      </w:pPr>
    </w:p>
    <w:p w14:paraId="21681D1C" w14:textId="77777777" w:rsidR="00DA3C67" w:rsidRPr="00DA3C67" w:rsidRDefault="00525B05" w:rsidP="00C961EB">
      <w:pPr>
        <w:keepNext/>
        <w:numPr>
          <w:ilvl w:val="0"/>
          <w:numId w:val="1"/>
        </w:numPr>
        <w:pBdr>
          <w:top w:val="nil"/>
          <w:left w:val="nil"/>
          <w:bottom w:val="nil"/>
          <w:right w:val="nil"/>
          <w:between w:val="nil"/>
        </w:pBdr>
        <w:tabs>
          <w:tab w:val="left" w:pos="567"/>
        </w:tabs>
        <w:ind w:left="0" w:firstLine="426"/>
        <w:jc w:val="both"/>
      </w:pPr>
      <w:r w:rsidRPr="00DA3C67">
        <w:rPr>
          <w:b/>
          <w:color w:val="000000"/>
        </w:rPr>
        <w:t>Pirmas kriterijus – kaina (C)</w:t>
      </w:r>
      <w:r w:rsidRPr="00DA3C67">
        <w:rPr>
          <w:color w:val="000000"/>
        </w:rPr>
        <w:t>. Pasiūlymo kainos (C) balai apskaičiuojami mažiausios pasiūlytos kainos (</w:t>
      </w:r>
      <w:proofErr w:type="spellStart"/>
      <w:r w:rsidRPr="00DA3C67">
        <w:rPr>
          <w:color w:val="000000"/>
        </w:rPr>
        <w:t>C</w:t>
      </w:r>
      <w:r w:rsidRPr="00DA3C67">
        <w:rPr>
          <w:color w:val="000000"/>
          <w:vertAlign w:val="subscript"/>
        </w:rPr>
        <w:t>min</w:t>
      </w:r>
      <w:proofErr w:type="spellEnd"/>
      <w:r w:rsidRPr="00DA3C67">
        <w:rPr>
          <w:color w:val="000000"/>
        </w:rPr>
        <w:t>) ir vertinamo pasiūlymo kainos (</w:t>
      </w:r>
      <w:proofErr w:type="spellStart"/>
      <w:r w:rsidRPr="00DA3C67">
        <w:rPr>
          <w:color w:val="000000"/>
        </w:rPr>
        <w:t>C</w:t>
      </w:r>
      <w:r w:rsidRPr="00DA3C67">
        <w:rPr>
          <w:color w:val="000000"/>
          <w:vertAlign w:val="subscript"/>
        </w:rPr>
        <w:t>p</w:t>
      </w:r>
      <w:proofErr w:type="spellEnd"/>
      <w:r w:rsidRPr="00DA3C67">
        <w:rPr>
          <w:color w:val="000000"/>
        </w:rPr>
        <w:t>) santykį padauginant iš kainos lyginamojo svorio (X):</w:t>
      </w:r>
    </w:p>
    <w:p w14:paraId="02E6290C" w14:textId="2A58880D" w:rsidR="00C464CF" w:rsidRDefault="00525B05" w:rsidP="00463558">
      <w:pPr>
        <w:keepNext/>
        <w:pBdr>
          <w:top w:val="nil"/>
          <w:left w:val="nil"/>
          <w:bottom w:val="nil"/>
          <w:right w:val="nil"/>
          <w:between w:val="nil"/>
        </w:pBdr>
        <w:tabs>
          <w:tab w:val="left" w:pos="567"/>
        </w:tabs>
        <w:ind w:left="794"/>
        <w:jc w:val="center"/>
      </w:pPr>
      <w:r>
        <w:rPr>
          <w:sz w:val="36"/>
          <w:szCs w:val="36"/>
          <w:vertAlign w:val="subscript"/>
        </w:rPr>
        <w:object w:dxaOrig="1290" w:dyaOrig="720" w14:anchorId="5230C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8" o:title=""/>
          </v:shape>
          <o:OLEObject Type="Embed" ProgID="Equation.3" ShapeID="_x0000_i1025" DrawAspect="Content" ObjectID="_1823837638" r:id="rId9"/>
        </w:object>
      </w:r>
      <w:r>
        <w:t>.</w:t>
      </w:r>
    </w:p>
    <w:p w14:paraId="15D18FDD" w14:textId="69F0B9D3" w:rsidR="00FE32EF" w:rsidRDefault="00DA3C67" w:rsidP="00FE32EF">
      <w:pPr>
        <w:pStyle w:val="Sraopastraipa"/>
        <w:keepNext/>
        <w:numPr>
          <w:ilvl w:val="0"/>
          <w:numId w:val="1"/>
        </w:numPr>
        <w:pBdr>
          <w:top w:val="nil"/>
          <w:left w:val="nil"/>
          <w:bottom w:val="nil"/>
          <w:right w:val="nil"/>
          <w:between w:val="nil"/>
        </w:pBdr>
        <w:spacing w:after="0"/>
        <w:ind w:left="0" w:firstLine="426"/>
        <w:jc w:val="both"/>
      </w:pPr>
      <w:r w:rsidRPr="00FE32EF">
        <w:rPr>
          <w:b/>
        </w:rPr>
        <w:t>Antras</w:t>
      </w:r>
      <w:r w:rsidR="00525B05" w:rsidRPr="00FE32EF">
        <w:rPr>
          <w:b/>
        </w:rPr>
        <w:t xml:space="preserve"> kriterijus</w:t>
      </w:r>
      <w:r w:rsidR="00525B05">
        <w:t xml:space="preserve"> </w:t>
      </w:r>
      <w:r w:rsidR="00525B05" w:rsidRPr="00FE32EF">
        <w:rPr>
          <w:b/>
        </w:rPr>
        <w:t>(</w:t>
      </w:r>
      <w:r w:rsidR="00FE32EF">
        <w:rPr>
          <w:b/>
          <w:bCs/>
          <w:sz w:val="22"/>
          <w:szCs w:val="22"/>
        </w:rPr>
        <w:t>T</w:t>
      </w:r>
      <w:r w:rsidR="00525B05" w:rsidRPr="00FE32EF">
        <w:rPr>
          <w:b/>
        </w:rPr>
        <w:t>)</w:t>
      </w:r>
      <w:r w:rsidR="00F8587B" w:rsidRPr="00FE32EF">
        <w:rPr>
          <w:b/>
        </w:rPr>
        <w:t xml:space="preserve"> </w:t>
      </w:r>
      <w:r w:rsidR="00F8587B">
        <w:t>–</w:t>
      </w:r>
      <w:r w:rsidR="00A83095">
        <w:t xml:space="preserve"> </w:t>
      </w:r>
      <w:r w:rsidR="00A83095" w:rsidRPr="00A83095">
        <w:t xml:space="preserve">per visą darbų (sutarties) vykdymo laikotarpį, </w:t>
      </w:r>
      <w:r w:rsidR="00A83095">
        <w:t xml:space="preserve">bet kuriems </w:t>
      </w:r>
      <w:r w:rsidR="00A83095" w:rsidRPr="00A83095">
        <w:t>techninėje specifikacijoje, ar techniniame projekte nurodytiems darbams</w:t>
      </w:r>
      <w:r w:rsidR="00A83095">
        <w:t>,</w:t>
      </w:r>
      <w:r w:rsidR="00A83095" w:rsidRPr="00A83095">
        <w:t xml:space="preserve"> </w:t>
      </w:r>
      <w:r w:rsidR="00A83095">
        <w:t xml:space="preserve">už </w:t>
      </w:r>
      <w:r w:rsidR="00FE32EF">
        <w:t xml:space="preserve">1 (vieno), nepalankioje padėtyje esančio specialisto (asmens) įdarbinimą </w:t>
      </w:r>
      <w:r w:rsidR="00F30121">
        <w:t>suteikiama vertė balais</w:t>
      </w:r>
      <w:r w:rsidR="00FE32EF">
        <w:t xml:space="preserve">. </w:t>
      </w:r>
    </w:p>
    <w:p w14:paraId="22FC0407" w14:textId="05FF47C0" w:rsidR="00DC4C69" w:rsidRDefault="00A83095" w:rsidP="00FE32EF">
      <w:pPr>
        <w:keepNext/>
        <w:pBdr>
          <w:top w:val="nil"/>
          <w:left w:val="nil"/>
          <w:bottom w:val="nil"/>
          <w:right w:val="nil"/>
          <w:between w:val="nil"/>
        </w:pBdr>
        <w:ind w:left="350"/>
        <w:jc w:val="both"/>
      </w:pPr>
      <w:r>
        <w:t>Už d</w:t>
      </w:r>
      <w:r w:rsidRPr="00A83095">
        <w:t>arbų atlikimui įdarbint</w:t>
      </w:r>
      <w:r>
        <w:t>us</w:t>
      </w:r>
      <w:r w:rsidRPr="00A83095">
        <w:t xml:space="preserve"> nepalankioje padėtyje esanči</w:t>
      </w:r>
      <w:r>
        <w:t>us</w:t>
      </w:r>
      <w:r w:rsidRPr="00A83095">
        <w:t xml:space="preserve"> specialist</w:t>
      </w:r>
      <w:r>
        <w:t>us</w:t>
      </w:r>
      <w:r w:rsidRPr="00A83095">
        <w:t xml:space="preserve"> </w:t>
      </w:r>
      <w:r w:rsidR="00DC4C69" w:rsidRPr="00DC4C69">
        <w:t>(T) balai skiriami taip:</w:t>
      </w:r>
    </w:p>
    <w:tbl>
      <w:tblPr>
        <w:tblStyle w:val="a2"/>
        <w:tblW w:w="9633"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5"/>
        <w:gridCol w:w="2268"/>
      </w:tblGrid>
      <w:tr w:rsidR="00C464CF" w14:paraId="3DEDDB10" w14:textId="77777777" w:rsidTr="00AA1711">
        <w:tc>
          <w:tcPr>
            <w:tcW w:w="7365" w:type="dxa"/>
            <w:shd w:val="clear" w:color="auto" w:fill="F2F2F2" w:themeFill="background1" w:themeFillShade="F2"/>
            <w:tcMar>
              <w:top w:w="100" w:type="dxa"/>
              <w:left w:w="100" w:type="dxa"/>
              <w:bottom w:w="100" w:type="dxa"/>
              <w:right w:w="100" w:type="dxa"/>
            </w:tcMar>
          </w:tcPr>
          <w:p w14:paraId="0B86D04A" w14:textId="13D6704C" w:rsidR="00C464CF" w:rsidRDefault="00DC4C69" w:rsidP="00C97810">
            <w:pPr>
              <w:widowControl w:val="0"/>
              <w:pBdr>
                <w:top w:val="nil"/>
                <w:left w:val="nil"/>
                <w:bottom w:val="nil"/>
                <w:right w:val="nil"/>
                <w:between w:val="nil"/>
              </w:pBdr>
              <w:rPr>
                <w:b/>
              </w:rPr>
            </w:pPr>
            <w:r>
              <w:rPr>
                <w:b/>
              </w:rPr>
              <w:t>Darbų atlikimo terminas, mėnesiais</w:t>
            </w:r>
          </w:p>
        </w:tc>
        <w:tc>
          <w:tcPr>
            <w:tcW w:w="2268" w:type="dxa"/>
            <w:shd w:val="clear" w:color="auto" w:fill="F2F2F2" w:themeFill="background1" w:themeFillShade="F2"/>
            <w:tcMar>
              <w:top w:w="100" w:type="dxa"/>
              <w:left w:w="100" w:type="dxa"/>
              <w:bottom w:w="100" w:type="dxa"/>
              <w:right w:w="100" w:type="dxa"/>
            </w:tcMar>
          </w:tcPr>
          <w:p w14:paraId="4DF15244" w14:textId="249EBE78" w:rsidR="00C464CF" w:rsidRDefault="00525B05" w:rsidP="00C97810">
            <w:pPr>
              <w:widowControl w:val="0"/>
              <w:pBdr>
                <w:top w:val="nil"/>
                <w:left w:val="nil"/>
                <w:bottom w:val="nil"/>
                <w:right w:val="nil"/>
                <w:between w:val="nil"/>
              </w:pBdr>
              <w:rPr>
                <w:b/>
              </w:rPr>
            </w:pPr>
            <w:r>
              <w:rPr>
                <w:b/>
              </w:rPr>
              <w:t>Skiriami Balai (T)</w:t>
            </w:r>
          </w:p>
        </w:tc>
      </w:tr>
      <w:tr w:rsidR="00DC4C69" w14:paraId="2B5F3BF5" w14:textId="77777777" w:rsidTr="00DD26EC">
        <w:tc>
          <w:tcPr>
            <w:tcW w:w="7365" w:type="dxa"/>
            <w:tcMar>
              <w:top w:w="100" w:type="dxa"/>
              <w:left w:w="100" w:type="dxa"/>
              <w:bottom w:w="100" w:type="dxa"/>
              <w:right w:w="100" w:type="dxa"/>
            </w:tcMar>
            <w:vAlign w:val="center"/>
          </w:tcPr>
          <w:p w14:paraId="68F9BEEA" w14:textId="765BACE9" w:rsidR="00DC4C69" w:rsidRDefault="008B036D" w:rsidP="00DC4C69">
            <w:pPr>
              <w:widowControl w:val="0"/>
              <w:pBdr>
                <w:top w:val="nil"/>
                <w:left w:val="nil"/>
                <w:bottom w:val="nil"/>
                <w:right w:val="nil"/>
                <w:between w:val="nil"/>
              </w:pBdr>
            </w:pPr>
            <w:r>
              <w:rPr>
                <w:color w:val="000000"/>
                <w:spacing w:val="-5"/>
              </w:rPr>
              <w:t>0 specialistų</w:t>
            </w:r>
            <w:r w:rsidR="00DC4C69">
              <w:rPr>
                <w:color w:val="000000"/>
                <w:spacing w:val="-5"/>
              </w:rPr>
              <w:t xml:space="preserve"> </w:t>
            </w:r>
          </w:p>
        </w:tc>
        <w:tc>
          <w:tcPr>
            <w:tcW w:w="2268" w:type="dxa"/>
            <w:tcMar>
              <w:top w:w="100" w:type="dxa"/>
              <w:left w:w="100" w:type="dxa"/>
              <w:bottom w:w="100" w:type="dxa"/>
              <w:right w:w="100" w:type="dxa"/>
            </w:tcMar>
          </w:tcPr>
          <w:p w14:paraId="501E097F" w14:textId="405FB5EC" w:rsidR="00DC4C69" w:rsidRDefault="008B036D" w:rsidP="00DC4C69">
            <w:pPr>
              <w:widowControl w:val="0"/>
              <w:pBdr>
                <w:top w:val="nil"/>
                <w:left w:val="nil"/>
                <w:bottom w:val="nil"/>
                <w:right w:val="nil"/>
                <w:between w:val="nil"/>
              </w:pBdr>
              <w:jc w:val="center"/>
            </w:pPr>
            <w:r>
              <w:t>0</w:t>
            </w:r>
          </w:p>
        </w:tc>
      </w:tr>
      <w:tr w:rsidR="008B036D" w14:paraId="79020754" w14:textId="77777777" w:rsidTr="004E4B7D">
        <w:tc>
          <w:tcPr>
            <w:tcW w:w="7365" w:type="dxa"/>
            <w:tcMar>
              <w:top w:w="100" w:type="dxa"/>
              <w:left w:w="100" w:type="dxa"/>
              <w:bottom w:w="100" w:type="dxa"/>
              <w:right w:w="100" w:type="dxa"/>
            </w:tcMar>
          </w:tcPr>
          <w:p w14:paraId="7F8BF247" w14:textId="37DD1D1F" w:rsidR="008B036D" w:rsidRDefault="008B036D" w:rsidP="008B036D">
            <w:pPr>
              <w:widowControl w:val="0"/>
              <w:pBdr>
                <w:top w:val="nil"/>
                <w:left w:val="nil"/>
                <w:bottom w:val="nil"/>
                <w:right w:val="nil"/>
                <w:between w:val="nil"/>
              </w:pBdr>
            </w:pPr>
            <w:r>
              <w:rPr>
                <w:color w:val="000000"/>
                <w:spacing w:val="-5"/>
              </w:rPr>
              <w:t>1</w:t>
            </w:r>
            <w:r w:rsidRPr="00EB659E">
              <w:rPr>
                <w:color w:val="000000"/>
                <w:spacing w:val="-5"/>
              </w:rPr>
              <w:t xml:space="preserve"> specialist</w:t>
            </w:r>
            <w:r>
              <w:rPr>
                <w:color w:val="000000"/>
                <w:spacing w:val="-5"/>
              </w:rPr>
              <w:t>as</w:t>
            </w:r>
            <w:r w:rsidRPr="00EB659E">
              <w:rPr>
                <w:color w:val="000000"/>
                <w:spacing w:val="-5"/>
              </w:rPr>
              <w:t xml:space="preserve"> </w:t>
            </w:r>
          </w:p>
        </w:tc>
        <w:tc>
          <w:tcPr>
            <w:tcW w:w="2268" w:type="dxa"/>
            <w:tcMar>
              <w:top w:w="100" w:type="dxa"/>
              <w:left w:w="100" w:type="dxa"/>
              <w:bottom w:w="100" w:type="dxa"/>
              <w:right w:w="100" w:type="dxa"/>
            </w:tcMar>
          </w:tcPr>
          <w:p w14:paraId="36DA8A8D" w14:textId="60B9C68A" w:rsidR="008B036D" w:rsidRDefault="008B036D" w:rsidP="008B036D">
            <w:pPr>
              <w:widowControl w:val="0"/>
              <w:pBdr>
                <w:top w:val="nil"/>
                <w:left w:val="nil"/>
                <w:bottom w:val="nil"/>
                <w:right w:val="nil"/>
                <w:between w:val="nil"/>
              </w:pBdr>
              <w:jc w:val="center"/>
            </w:pPr>
            <w:r>
              <w:t>2</w:t>
            </w:r>
          </w:p>
        </w:tc>
      </w:tr>
      <w:tr w:rsidR="008B036D" w14:paraId="51A9721C" w14:textId="77777777" w:rsidTr="004E4B7D">
        <w:tc>
          <w:tcPr>
            <w:tcW w:w="7365" w:type="dxa"/>
            <w:tcMar>
              <w:top w:w="100" w:type="dxa"/>
              <w:left w:w="100" w:type="dxa"/>
              <w:bottom w:w="100" w:type="dxa"/>
              <w:right w:w="100" w:type="dxa"/>
            </w:tcMar>
          </w:tcPr>
          <w:p w14:paraId="5DE025FD" w14:textId="2CE4C6A4" w:rsidR="008B036D" w:rsidRDefault="008B036D" w:rsidP="008B036D">
            <w:pPr>
              <w:widowControl w:val="0"/>
              <w:pBdr>
                <w:top w:val="nil"/>
                <w:left w:val="nil"/>
                <w:bottom w:val="nil"/>
                <w:right w:val="nil"/>
                <w:between w:val="nil"/>
              </w:pBdr>
            </w:pPr>
            <w:r>
              <w:rPr>
                <w:color w:val="000000"/>
                <w:spacing w:val="-5"/>
              </w:rPr>
              <w:t>2</w:t>
            </w:r>
            <w:r w:rsidRPr="00EB659E">
              <w:rPr>
                <w:color w:val="000000"/>
                <w:spacing w:val="-5"/>
              </w:rPr>
              <w:t xml:space="preserve"> specialist</w:t>
            </w:r>
            <w:r>
              <w:rPr>
                <w:color w:val="000000"/>
                <w:spacing w:val="-5"/>
              </w:rPr>
              <w:t>ai</w:t>
            </w:r>
            <w:r w:rsidRPr="00EB659E">
              <w:rPr>
                <w:color w:val="000000"/>
                <w:spacing w:val="-5"/>
              </w:rPr>
              <w:t xml:space="preserve"> </w:t>
            </w:r>
          </w:p>
        </w:tc>
        <w:tc>
          <w:tcPr>
            <w:tcW w:w="2268" w:type="dxa"/>
            <w:tcMar>
              <w:top w:w="100" w:type="dxa"/>
              <w:left w:w="100" w:type="dxa"/>
              <w:bottom w:w="100" w:type="dxa"/>
              <w:right w:w="100" w:type="dxa"/>
            </w:tcMar>
          </w:tcPr>
          <w:p w14:paraId="7B1E3A24" w14:textId="482BECD0" w:rsidR="008B036D" w:rsidRDefault="008B036D" w:rsidP="008B036D">
            <w:pPr>
              <w:widowControl w:val="0"/>
              <w:pBdr>
                <w:top w:val="nil"/>
                <w:left w:val="nil"/>
                <w:bottom w:val="nil"/>
                <w:right w:val="nil"/>
                <w:between w:val="nil"/>
              </w:pBdr>
              <w:jc w:val="center"/>
            </w:pPr>
            <w:r>
              <w:t>4</w:t>
            </w:r>
          </w:p>
        </w:tc>
      </w:tr>
      <w:tr w:rsidR="008B036D" w14:paraId="7D0005F1" w14:textId="77777777" w:rsidTr="004E4B7D">
        <w:tc>
          <w:tcPr>
            <w:tcW w:w="7365" w:type="dxa"/>
            <w:tcMar>
              <w:top w:w="100" w:type="dxa"/>
              <w:left w:w="100" w:type="dxa"/>
              <w:bottom w:w="100" w:type="dxa"/>
              <w:right w:w="100" w:type="dxa"/>
            </w:tcMar>
          </w:tcPr>
          <w:p w14:paraId="6C8B7FE6" w14:textId="6385B75B" w:rsidR="008B036D" w:rsidRDefault="008B036D" w:rsidP="008B036D">
            <w:pPr>
              <w:widowControl w:val="0"/>
              <w:pBdr>
                <w:top w:val="nil"/>
                <w:left w:val="nil"/>
                <w:bottom w:val="nil"/>
                <w:right w:val="nil"/>
                <w:between w:val="nil"/>
              </w:pBdr>
            </w:pPr>
            <w:r>
              <w:rPr>
                <w:color w:val="000000"/>
                <w:spacing w:val="-5"/>
              </w:rPr>
              <w:t>3</w:t>
            </w:r>
            <w:r w:rsidRPr="00EB659E">
              <w:rPr>
                <w:color w:val="000000"/>
                <w:spacing w:val="-5"/>
              </w:rPr>
              <w:t xml:space="preserve"> specialist</w:t>
            </w:r>
            <w:r>
              <w:rPr>
                <w:color w:val="000000"/>
                <w:spacing w:val="-5"/>
              </w:rPr>
              <w:t>ai</w:t>
            </w:r>
            <w:r w:rsidRPr="00EB659E">
              <w:rPr>
                <w:color w:val="000000"/>
                <w:spacing w:val="-5"/>
              </w:rPr>
              <w:t xml:space="preserve"> </w:t>
            </w:r>
          </w:p>
        </w:tc>
        <w:tc>
          <w:tcPr>
            <w:tcW w:w="2268" w:type="dxa"/>
            <w:tcMar>
              <w:top w:w="100" w:type="dxa"/>
              <w:left w:w="100" w:type="dxa"/>
              <w:bottom w:w="100" w:type="dxa"/>
              <w:right w:w="100" w:type="dxa"/>
            </w:tcMar>
          </w:tcPr>
          <w:p w14:paraId="3EB691B1" w14:textId="2DD2A6A0" w:rsidR="008B036D" w:rsidRDefault="008B036D" w:rsidP="008B036D">
            <w:pPr>
              <w:widowControl w:val="0"/>
              <w:pBdr>
                <w:top w:val="nil"/>
                <w:left w:val="nil"/>
                <w:bottom w:val="nil"/>
                <w:right w:val="nil"/>
                <w:between w:val="nil"/>
              </w:pBdr>
              <w:jc w:val="center"/>
            </w:pPr>
            <w:r>
              <w:t>6</w:t>
            </w:r>
          </w:p>
        </w:tc>
      </w:tr>
      <w:tr w:rsidR="008B036D" w14:paraId="59942088" w14:textId="77777777" w:rsidTr="004E4B7D">
        <w:tc>
          <w:tcPr>
            <w:tcW w:w="7365" w:type="dxa"/>
            <w:tcMar>
              <w:top w:w="100" w:type="dxa"/>
              <w:left w:w="100" w:type="dxa"/>
              <w:bottom w:w="100" w:type="dxa"/>
              <w:right w:w="100" w:type="dxa"/>
            </w:tcMar>
          </w:tcPr>
          <w:p w14:paraId="4B48A576" w14:textId="2132FFA3" w:rsidR="008B036D" w:rsidRDefault="008B036D" w:rsidP="008B036D">
            <w:pPr>
              <w:widowControl w:val="0"/>
              <w:pBdr>
                <w:top w:val="nil"/>
                <w:left w:val="nil"/>
                <w:bottom w:val="nil"/>
                <w:right w:val="nil"/>
                <w:between w:val="nil"/>
              </w:pBdr>
            </w:pPr>
            <w:r>
              <w:rPr>
                <w:color w:val="000000"/>
                <w:spacing w:val="-5"/>
              </w:rPr>
              <w:t>4</w:t>
            </w:r>
            <w:r w:rsidRPr="00EB659E">
              <w:rPr>
                <w:color w:val="000000"/>
                <w:spacing w:val="-5"/>
              </w:rPr>
              <w:t xml:space="preserve"> specialist</w:t>
            </w:r>
            <w:r>
              <w:rPr>
                <w:color w:val="000000"/>
                <w:spacing w:val="-5"/>
              </w:rPr>
              <w:t>ai</w:t>
            </w:r>
            <w:r w:rsidRPr="00EB659E">
              <w:rPr>
                <w:color w:val="000000"/>
                <w:spacing w:val="-5"/>
              </w:rPr>
              <w:t xml:space="preserve"> </w:t>
            </w:r>
          </w:p>
        </w:tc>
        <w:tc>
          <w:tcPr>
            <w:tcW w:w="2268" w:type="dxa"/>
            <w:tcMar>
              <w:top w:w="100" w:type="dxa"/>
              <w:left w:w="100" w:type="dxa"/>
              <w:bottom w:w="100" w:type="dxa"/>
              <w:right w:w="100" w:type="dxa"/>
            </w:tcMar>
          </w:tcPr>
          <w:p w14:paraId="3D008FA9" w14:textId="4849CD3B" w:rsidR="008B036D" w:rsidRDefault="008B036D" w:rsidP="008B036D">
            <w:pPr>
              <w:widowControl w:val="0"/>
              <w:pBdr>
                <w:top w:val="nil"/>
                <w:left w:val="nil"/>
                <w:bottom w:val="nil"/>
                <w:right w:val="nil"/>
                <w:between w:val="nil"/>
              </w:pBdr>
              <w:jc w:val="center"/>
            </w:pPr>
            <w:r>
              <w:t>8</w:t>
            </w:r>
          </w:p>
        </w:tc>
      </w:tr>
      <w:tr w:rsidR="008B036D" w14:paraId="3DE5FD95" w14:textId="77777777" w:rsidTr="004E4B7D">
        <w:tc>
          <w:tcPr>
            <w:tcW w:w="7365" w:type="dxa"/>
            <w:tcMar>
              <w:top w:w="100" w:type="dxa"/>
              <w:left w:w="100" w:type="dxa"/>
              <w:bottom w:w="100" w:type="dxa"/>
              <w:right w:w="100" w:type="dxa"/>
            </w:tcMar>
          </w:tcPr>
          <w:p w14:paraId="22B0EEF4" w14:textId="188E6298" w:rsidR="008B036D" w:rsidRDefault="008B036D" w:rsidP="008B036D">
            <w:pPr>
              <w:widowControl w:val="0"/>
              <w:pBdr>
                <w:top w:val="nil"/>
                <w:left w:val="nil"/>
                <w:bottom w:val="nil"/>
                <w:right w:val="nil"/>
                <w:between w:val="nil"/>
              </w:pBdr>
            </w:pPr>
            <w:r>
              <w:rPr>
                <w:color w:val="000000"/>
                <w:spacing w:val="-5"/>
              </w:rPr>
              <w:t>5 ir daugiau</w:t>
            </w:r>
            <w:r w:rsidRPr="00EB659E">
              <w:rPr>
                <w:color w:val="000000"/>
                <w:spacing w:val="-5"/>
              </w:rPr>
              <w:t xml:space="preserve"> specialistų </w:t>
            </w:r>
          </w:p>
        </w:tc>
        <w:tc>
          <w:tcPr>
            <w:tcW w:w="2268" w:type="dxa"/>
            <w:tcMar>
              <w:top w:w="100" w:type="dxa"/>
              <w:left w:w="100" w:type="dxa"/>
              <w:bottom w:w="100" w:type="dxa"/>
              <w:right w:w="100" w:type="dxa"/>
            </w:tcMar>
          </w:tcPr>
          <w:p w14:paraId="78CBCF8B" w14:textId="381B111C" w:rsidR="008B036D" w:rsidRDefault="008B036D" w:rsidP="008B036D">
            <w:pPr>
              <w:widowControl w:val="0"/>
              <w:pBdr>
                <w:top w:val="nil"/>
                <w:left w:val="nil"/>
                <w:bottom w:val="nil"/>
                <w:right w:val="nil"/>
                <w:between w:val="nil"/>
              </w:pBdr>
              <w:jc w:val="center"/>
            </w:pPr>
            <w:r>
              <w:t>10</w:t>
            </w:r>
          </w:p>
        </w:tc>
      </w:tr>
    </w:tbl>
    <w:p w14:paraId="6DCF6815" w14:textId="77777777" w:rsidR="008B036D" w:rsidRDefault="008B036D" w:rsidP="00C961EB">
      <w:pPr>
        <w:pStyle w:val="Sraopastraipa"/>
        <w:keepNext/>
        <w:numPr>
          <w:ilvl w:val="0"/>
          <w:numId w:val="1"/>
        </w:numPr>
        <w:pBdr>
          <w:top w:val="nil"/>
          <w:left w:val="nil"/>
          <w:bottom w:val="nil"/>
          <w:right w:val="nil"/>
          <w:between w:val="nil"/>
        </w:pBdr>
        <w:ind w:left="0" w:firstLine="426"/>
        <w:jc w:val="both"/>
      </w:pPr>
      <w:r w:rsidRPr="008B036D">
        <w:t xml:space="preserve">Už kiekvieną 1 (vieną) įdarbintą </w:t>
      </w:r>
      <w:bookmarkStart w:id="2" w:name="_Hlk211934567"/>
      <w:r w:rsidRPr="008B036D">
        <w:t xml:space="preserve">nepalankioje padėtyje esantį specialistą (asmenį) </w:t>
      </w:r>
      <w:bookmarkEnd w:id="2"/>
      <w:r w:rsidRPr="008B036D">
        <w:t>skiriama po 2 balus.</w:t>
      </w:r>
    </w:p>
    <w:p w14:paraId="5FEB0A8D" w14:textId="1C1EC26F" w:rsidR="00C464CF" w:rsidRDefault="008B036D" w:rsidP="00C961EB">
      <w:pPr>
        <w:pStyle w:val="Sraopastraipa"/>
        <w:keepNext/>
        <w:numPr>
          <w:ilvl w:val="0"/>
          <w:numId w:val="1"/>
        </w:numPr>
        <w:pBdr>
          <w:top w:val="nil"/>
          <w:left w:val="nil"/>
          <w:bottom w:val="nil"/>
          <w:right w:val="nil"/>
          <w:between w:val="nil"/>
        </w:pBdr>
        <w:ind w:left="0" w:firstLine="426"/>
        <w:jc w:val="both"/>
      </w:pPr>
      <w:r>
        <w:t xml:space="preserve">Už 5 (penkis) ir daugiau </w:t>
      </w:r>
      <w:r w:rsidRPr="008B036D">
        <w:t>įdarbint</w:t>
      </w:r>
      <w:r>
        <w:t>us</w:t>
      </w:r>
      <w:r w:rsidRPr="008B036D">
        <w:t xml:space="preserve"> nepalankioje padėtyje esan</w:t>
      </w:r>
      <w:r>
        <w:t>čius</w:t>
      </w:r>
      <w:r w:rsidRPr="008B036D">
        <w:t xml:space="preserve"> specialist</w:t>
      </w:r>
      <w:r>
        <w:t>us</w:t>
      </w:r>
      <w:r w:rsidRPr="008B036D">
        <w:t xml:space="preserve"> (asmen</w:t>
      </w:r>
      <w:r>
        <w:t>is</w:t>
      </w:r>
      <w:r w:rsidRPr="008B036D">
        <w:t>) skiriama</w:t>
      </w:r>
      <w:r w:rsidR="00902D1D">
        <w:t>s maksimalus</w:t>
      </w:r>
      <w:r w:rsidRPr="008B036D">
        <w:t xml:space="preserve"> </w:t>
      </w:r>
      <w:r>
        <w:t>10 (dešimt) balų</w:t>
      </w:r>
      <w:r w:rsidR="00902D1D">
        <w:t xml:space="preserve"> skaičius</w:t>
      </w:r>
      <w:r w:rsidRPr="008B036D">
        <w:t>.</w:t>
      </w:r>
    </w:p>
    <w:p w14:paraId="6E54421B" w14:textId="3149ACA8" w:rsidR="00341033" w:rsidRDefault="00341033" w:rsidP="00C961EB">
      <w:pPr>
        <w:pStyle w:val="Sraopastraipa"/>
        <w:keepNext/>
        <w:numPr>
          <w:ilvl w:val="0"/>
          <w:numId w:val="1"/>
        </w:numPr>
        <w:pBdr>
          <w:top w:val="nil"/>
          <w:left w:val="nil"/>
          <w:bottom w:val="nil"/>
          <w:right w:val="nil"/>
          <w:between w:val="nil"/>
        </w:pBdr>
        <w:ind w:left="0" w:firstLine="426"/>
        <w:jc w:val="both"/>
      </w:pPr>
      <w:r>
        <w:t xml:space="preserve">Tiekėjas privalo </w:t>
      </w:r>
      <w:r w:rsidRPr="00341033">
        <w:t xml:space="preserve">įdarbinti asmenis sudarant darbo sutartį </w:t>
      </w:r>
      <w:r>
        <w:t xml:space="preserve">bet kuriems </w:t>
      </w:r>
      <w:r w:rsidRPr="00341033">
        <w:t>pirkime nurodytiems darbams atlikti. Įdarbinimas gali apimti ir apmokymą, jeigu apmokymai yra susiję su įdarbinimu. Šiuo atveju tiekėjas darbų (sutarties) vykdymo laikotarpiui turi įdarbinti asmenį (-</w:t>
      </w:r>
      <w:proofErr w:type="spellStart"/>
      <w:r w:rsidRPr="00341033">
        <w:t>is</w:t>
      </w:r>
      <w:proofErr w:type="spellEnd"/>
      <w:r w:rsidRPr="00341033">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341033">
        <w:t>enys</w:t>
      </w:r>
      <w:proofErr w:type="spellEnd"/>
      <w:r w:rsidRPr="00341033">
        <w:t>) gali būti įdarbinti tiek pilnam etatui, tiek ir nepilnai darbo dienai</w:t>
      </w:r>
      <w:r>
        <w:t>.</w:t>
      </w:r>
    </w:p>
    <w:p w14:paraId="496DE2DE" w14:textId="215DD3AB" w:rsidR="00156261" w:rsidRDefault="008F513F" w:rsidP="008F513F">
      <w:pPr>
        <w:pStyle w:val="Sraopastraipa"/>
        <w:keepNext/>
        <w:numPr>
          <w:ilvl w:val="0"/>
          <w:numId w:val="1"/>
        </w:numPr>
        <w:pBdr>
          <w:top w:val="nil"/>
          <w:left w:val="nil"/>
          <w:bottom w:val="nil"/>
          <w:right w:val="nil"/>
          <w:between w:val="nil"/>
        </w:pBdr>
        <w:ind w:left="0" w:firstLine="426"/>
        <w:jc w:val="both"/>
      </w:pPr>
      <w:r>
        <w:t>V</w:t>
      </w:r>
      <w:r w:rsidRPr="008F513F">
        <w:t>adovaujantis Lietuvos Respublikos užimtumo įstatymo 25 straipsnio 6 punktu,  nepalankioje padėtyje esant</w:t>
      </w:r>
      <w:r>
        <w:t>ys</w:t>
      </w:r>
      <w:r w:rsidRPr="008F513F">
        <w:t xml:space="preserve"> specialist</w:t>
      </w:r>
      <w:r>
        <w:t>ai</w:t>
      </w:r>
      <w:r w:rsidRPr="008F513F">
        <w:t xml:space="preserve"> (asmen</w:t>
      </w:r>
      <w:r>
        <w:t>ys</w:t>
      </w:r>
      <w:r w:rsidRPr="008F513F">
        <w:t xml:space="preserve">) </w:t>
      </w:r>
      <w:r w:rsidR="00CE1D84">
        <w:t xml:space="preserve">perkančios organizacijos </w:t>
      </w:r>
      <w:r>
        <w:t>pripažįstami</w:t>
      </w:r>
      <w:r w:rsidRPr="008F513F">
        <w:t xml:space="preserve"> vyresni kaip 50 metų bedarbi</w:t>
      </w:r>
      <w:r>
        <w:t>ai</w:t>
      </w:r>
      <w:r w:rsidRPr="008F513F">
        <w:t xml:space="preserve"> specialist</w:t>
      </w:r>
      <w:r>
        <w:t>ai</w:t>
      </w:r>
      <w:r w:rsidRPr="008F513F">
        <w:t xml:space="preserve">. </w:t>
      </w:r>
    </w:p>
    <w:p w14:paraId="16E3559C" w14:textId="04D32E34" w:rsidR="00AA1711" w:rsidRDefault="00525B05" w:rsidP="00C961EB">
      <w:pPr>
        <w:pStyle w:val="Sraopastraipa"/>
        <w:numPr>
          <w:ilvl w:val="0"/>
          <w:numId w:val="1"/>
        </w:numPr>
        <w:tabs>
          <w:tab w:val="left" w:pos="993"/>
        </w:tabs>
        <w:spacing w:after="0" w:line="240" w:lineRule="auto"/>
        <w:ind w:left="0" w:firstLine="426"/>
        <w:jc w:val="both"/>
      </w:pPr>
      <w:r>
        <w:rPr>
          <w:color w:val="000000"/>
        </w:rPr>
        <w:t>Geriausiu pasiūlymu pripažįstamas pasiūlymas, surinkęs didžiausią ekonominio naudingumo balą.</w:t>
      </w:r>
      <w:r w:rsidR="00AA1711">
        <w:rPr>
          <w:color w:val="000000"/>
        </w:rPr>
        <w:t xml:space="preserve"> </w:t>
      </w:r>
      <w:r w:rsidR="00AA1711" w:rsidRPr="004463AA">
        <w:t>Tais atvejais, kai kelių dalyvių pasiūlymų ekonominis naudingumas yra vienodas, nustatant pasiūlymų eilę, pirmesnis į šią eilę įrašomas dalyvis, kurio pasiūlymas pateiktas anksčiausiai.</w:t>
      </w:r>
    </w:p>
    <w:p w14:paraId="5700BBC8" w14:textId="616C769F" w:rsidR="00C464CF" w:rsidRPr="007C2358" w:rsidRDefault="00DC4C69" w:rsidP="007C2358">
      <w:pPr>
        <w:pStyle w:val="Sraopastraipa"/>
        <w:keepNext/>
        <w:numPr>
          <w:ilvl w:val="0"/>
          <w:numId w:val="1"/>
        </w:numPr>
        <w:pBdr>
          <w:top w:val="nil"/>
          <w:left w:val="nil"/>
          <w:bottom w:val="nil"/>
          <w:right w:val="nil"/>
          <w:between w:val="nil"/>
        </w:pBdr>
        <w:spacing w:after="0" w:line="240" w:lineRule="auto"/>
        <w:ind w:left="0" w:firstLine="426"/>
        <w:jc w:val="both"/>
        <w:rPr>
          <w:color w:val="000000"/>
        </w:rPr>
      </w:pPr>
      <w:r w:rsidRPr="00DC4C69">
        <w:t>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(jeigu nustatytos),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w:t>
      </w:r>
      <w:r w:rsidR="007C2358">
        <w:t>.</w:t>
      </w:r>
    </w:p>
    <w:sectPr w:rsidR="00C464CF" w:rsidRPr="007C2358" w:rsidSect="00C97810">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E06F" w14:textId="77777777" w:rsidR="000D6FA6" w:rsidRDefault="000D6FA6">
      <w:r>
        <w:separator/>
      </w:r>
    </w:p>
  </w:endnote>
  <w:endnote w:type="continuationSeparator" w:id="0">
    <w:p w14:paraId="530AE6AC" w14:textId="77777777" w:rsidR="000D6FA6" w:rsidRDefault="000D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965A" w14:textId="77777777" w:rsidR="000D6FA6" w:rsidRDefault="000D6FA6">
      <w:r>
        <w:separator/>
      </w:r>
    </w:p>
  </w:footnote>
  <w:footnote w:type="continuationSeparator" w:id="0">
    <w:p w14:paraId="0785E0F4" w14:textId="77777777" w:rsidR="000D6FA6" w:rsidRDefault="000D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9E7"/>
    <w:multiLevelType w:val="multilevel"/>
    <w:tmpl w:val="022EDE18"/>
    <w:lvl w:ilvl="0">
      <w:start w:val="10"/>
      <w:numFmt w:val="decimal"/>
      <w:lvlText w:val="%1."/>
      <w:lvlJc w:val="left"/>
      <w:pPr>
        <w:ind w:left="1211" w:hanging="360"/>
      </w:pPr>
      <w:rPr>
        <w:rFonts w:hint="default"/>
        <w:i w:val="0"/>
        <w:sz w:val="24"/>
        <w:szCs w:val="24"/>
      </w:rPr>
    </w:lvl>
    <w:lvl w:ilvl="1">
      <w:start w:val="1"/>
      <w:numFmt w:val="decimal"/>
      <w:lvlText w:val="%1.%2."/>
      <w:lvlJc w:val="left"/>
      <w:pPr>
        <w:ind w:left="1391" w:hanging="540"/>
      </w:pPr>
      <w:rPr>
        <w:rFonts w:hint="default"/>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 w15:restartNumberingAfterBreak="0">
    <w:nsid w:val="4D5F0842"/>
    <w:multiLevelType w:val="hybridMultilevel"/>
    <w:tmpl w:val="EEFCECC0"/>
    <w:lvl w:ilvl="0" w:tplc="0427000F">
      <w:start w:val="1"/>
      <w:numFmt w:val="decimal"/>
      <w:lvlText w:val="%1."/>
      <w:lvlJc w:val="left"/>
      <w:pPr>
        <w:ind w:left="2111" w:hanging="360"/>
      </w:pPr>
    </w:lvl>
    <w:lvl w:ilvl="1" w:tplc="04270019" w:tentative="1">
      <w:start w:val="1"/>
      <w:numFmt w:val="lowerLetter"/>
      <w:lvlText w:val="%2."/>
      <w:lvlJc w:val="left"/>
      <w:pPr>
        <w:ind w:left="2831" w:hanging="360"/>
      </w:pPr>
    </w:lvl>
    <w:lvl w:ilvl="2" w:tplc="0427001B" w:tentative="1">
      <w:start w:val="1"/>
      <w:numFmt w:val="lowerRoman"/>
      <w:lvlText w:val="%3."/>
      <w:lvlJc w:val="right"/>
      <w:pPr>
        <w:ind w:left="3551" w:hanging="180"/>
      </w:pPr>
    </w:lvl>
    <w:lvl w:ilvl="3" w:tplc="0427000F" w:tentative="1">
      <w:start w:val="1"/>
      <w:numFmt w:val="decimal"/>
      <w:lvlText w:val="%4."/>
      <w:lvlJc w:val="left"/>
      <w:pPr>
        <w:ind w:left="4271" w:hanging="360"/>
      </w:pPr>
    </w:lvl>
    <w:lvl w:ilvl="4" w:tplc="04270019" w:tentative="1">
      <w:start w:val="1"/>
      <w:numFmt w:val="lowerLetter"/>
      <w:lvlText w:val="%5."/>
      <w:lvlJc w:val="left"/>
      <w:pPr>
        <w:ind w:left="4991" w:hanging="360"/>
      </w:pPr>
    </w:lvl>
    <w:lvl w:ilvl="5" w:tplc="0427001B" w:tentative="1">
      <w:start w:val="1"/>
      <w:numFmt w:val="lowerRoman"/>
      <w:lvlText w:val="%6."/>
      <w:lvlJc w:val="right"/>
      <w:pPr>
        <w:ind w:left="5711" w:hanging="180"/>
      </w:pPr>
    </w:lvl>
    <w:lvl w:ilvl="6" w:tplc="0427000F" w:tentative="1">
      <w:start w:val="1"/>
      <w:numFmt w:val="decimal"/>
      <w:lvlText w:val="%7."/>
      <w:lvlJc w:val="left"/>
      <w:pPr>
        <w:ind w:left="6431" w:hanging="360"/>
      </w:pPr>
    </w:lvl>
    <w:lvl w:ilvl="7" w:tplc="04270019" w:tentative="1">
      <w:start w:val="1"/>
      <w:numFmt w:val="lowerLetter"/>
      <w:lvlText w:val="%8."/>
      <w:lvlJc w:val="left"/>
      <w:pPr>
        <w:ind w:left="7151" w:hanging="360"/>
      </w:pPr>
    </w:lvl>
    <w:lvl w:ilvl="8" w:tplc="0427001B" w:tentative="1">
      <w:start w:val="1"/>
      <w:numFmt w:val="lowerRoman"/>
      <w:lvlText w:val="%9."/>
      <w:lvlJc w:val="right"/>
      <w:pPr>
        <w:ind w:left="7871" w:hanging="180"/>
      </w:pPr>
    </w:lvl>
  </w:abstractNum>
  <w:abstractNum w:abstractNumId="2" w15:restartNumberingAfterBreak="0">
    <w:nsid w:val="52DA2D40"/>
    <w:multiLevelType w:val="multilevel"/>
    <w:tmpl w:val="77F8EA62"/>
    <w:lvl w:ilvl="0">
      <w:start w:val="1"/>
      <w:numFmt w:val="decimal"/>
      <w:lvlText w:val="%1."/>
      <w:lvlJc w:val="left"/>
      <w:pPr>
        <w:ind w:left="1070" w:hanging="360"/>
      </w:pPr>
      <w:rPr>
        <w:i w:val="0"/>
        <w:sz w:val="24"/>
        <w:szCs w:val="24"/>
      </w:rPr>
    </w:lvl>
    <w:lvl w:ilvl="1">
      <w:start w:val="1"/>
      <w:numFmt w:val="decimal"/>
      <w:lvlText w:val="%1.%2."/>
      <w:lvlJc w:val="left"/>
      <w:pPr>
        <w:ind w:left="1391" w:hanging="540"/>
      </w:pPr>
      <w:rPr>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598F7B73"/>
    <w:multiLevelType w:val="hybridMultilevel"/>
    <w:tmpl w:val="6FB4ED1E"/>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768043283">
    <w:abstractNumId w:val="2"/>
  </w:num>
  <w:num w:numId="2" w16cid:durableId="967206708">
    <w:abstractNumId w:val="0"/>
  </w:num>
  <w:num w:numId="3" w16cid:durableId="622536778">
    <w:abstractNumId w:val="1"/>
  </w:num>
  <w:num w:numId="4" w16cid:durableId="105030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CF"/>
    <w:rsid w:val="00092BDC"/>
    <w:rsid w:val="000D6FA6"/>
    <w:rsid w:val="001001BD"/>
    <w:rsid w:val="001120DB"/>
    <w:rsid w:val="00156261"/>
    <w:rsid w:val="001724BD"/>
    <w:rsid w:val="001E49BC"/>
    <w:rsid w:val="0022238A"/>
    <w:rsid w:val="00225397"/>
    <w:rsid w:val="00227394"/>
    <w:rsid w:val="00234AAF"/>
    <w:rsid w:val="0027573B"/>
    <w:rsid w:val="002F4088"/>
    <w:rsid w:val="00341033"/>
    <w:rsid w:val="00374DD1"/>
    <w:rsid w:val="00375AF8"/>
    <w:rsid w:val="00384E6F"/>
    <w:rsid w:val="0042088A"/>
    <w:rsid w:val="0045360D"/>
    <w:rsid w:val="00463558"/>
    <w:rsid w:val="00522393"/>
    <w:rsid w:val="00525B05"/>
    <w:rsid w:val="005B6DF2"/>
    <w:rsid w:val="005C3049"/>
    <w:rsid w:val="005C40C0"/>
    <w:rsid w:val="0065207A"/>
    <w:rsid w:val="00662420"/>
    <w:rsid w:val="006A0B05"/>
    <w:rsid w:val="006A2924"/>
    <w:rsid w:val="00774797"/>
    <w:rsid w:val="00783C2C"/>
    <w:rsid w:val="007876A9"/>
    <w:rsid w:val="00790DD0"/>
    <w:rsid w:val="00790F73"/>
    <w:rsid w:val="00791E90"/>
    <w:rsid w:val="007C2358"/>
    <w:rsid w:val="007D3851"/>
    <w:rsid w:val="007F1AC6"/>
    <w:rsid w:val="008600C6"/>
    <w:rsid w:val="00874E3B"/>
    <w:rsid w:val="008A6D71"/>
    <w:rsid w:val="008B036D"/>
    <w:rsid w:val="008F0404"/>
    <w:rsid w:val="008F513F"/>
    <w:rsid w:val="00902D1D"/>
    <w:rsid w:val="00905A04"/>
    <w:rsid w:val="00933481"/>
    <w:rsid w:val="0097223A"/>
    <w:rsid w:val="009E7773"/>
    <w:rsid w:val="009F6DD8"/>
    <w:rsid w:val="00A3415C"/>
    <w:rsid w:val="00A83095"/>
    <w:rsid w:val="00AA1711"/>
    <w:rsid w:val="00AE6EEE"/>
    <w:rsid w:val="00B07268"/>
    <w:rsid w:val="00B72118"/>
    <w:rsid w:val="00B7556E"/>
    <w:rsid w:val="00BA2891"/>
    <w:rsid w:val="00BD3D09"/>
    <w:rsid w:val="00C24B74"/>
    <w:rsid w:val="00C464CF"/>
    <w:rsid w:val="00C47714"/>
    <w:rsid w:val="00C477F7"/>
    <w:rsid w:val="00C63110"/>
    <w:rsid w:val="00C67EC6"/>
    <w:rsid w:val="00C864EA"/>
    <w:rsid w:val="00C961EB"/>
    <w:rsid w:val="00C97810"/>
    <w:rsid w:val="00CD73BA"/>
    <w:rsid w:val="00CE1D84"/>
    <w:rsid w:val="00CF2B35"/>
    <w:rsid w:val="00D20EA9"/>
    <w:rsid w:val="00D23CF8"/>
    <w:rsid w:val="00D26C74"/>
    <w:rsid w:val="00D61B4F"/>
    <w:rsid w:val="00D65E19"/>
    <w:rsid w:val="00D757B2"/>
    <w:rsid w:val="00D8251A"/>
    <w:rsid w:val="00D93BF1"/>
    <w:rsid w:val="00DA12CE"/>
    <w:rsid w:val="00DA3C67"/>
    <w:rsid w:val="00DA5B01"/>
    <w:rsid w:val="00DC4C69"/>
    <w:rsid w:val="00DD7F2C"/>
    <w:rsid w:val="00DF50C6"/>
    <w:rsid w:val="00E1281D"/>
    <w:rsid w:val="00ED0E54"/>
    <w:rsid w:val="00F30121"/>
    <w:rsid w:val="00F509C8"/>
    <w:rsid w:val="00F66D33"/>
    <w:rsid w:val="00F8587B"/>
    <w:rsid w:val="00FA4508"/>
    <w:rsid w:val="00FE3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E034"/>
  <w15:docId w15:val="{4993AA31-CCA5-4BC5-A8E5-A3044A8B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62F"/>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8762F"/>
    <w:pPr>
      <w:suppressAutoHyphens w:val="0"/>
      <w:spacing w:after="200" w:line="276" w:lineRule="auto"/>
      <w:ind w:left="720"/>
      <w:contextualSpacing/>
    </w:pPr>
    <w:rPr>
      <w:rFonts w:eastAsia="Calibri"/>
      <w:szCs w:val="24"/>
      <w:lang w:eastAsia="en-US"/>
    </w:rPr>
  </w:style>
  <w:style w:type="table" w:styleId="Lentelstinklelis">
    <w:name w:val="Table Grid"/>
    <w:basedOn w:val="prastojilentel"/>
    <w:uiPriority w:val="59"/>
    <w:rsid w:val="0088762F"/>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rsid w:val="0088762F"/>
    <w:rPr>
      <w:rFonts w:ascii="Times New Roman" w:eastAsia="Calibri" w:hAnsi="Times New Roman" w:cs="Times New Roman"/>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Debesliotekstas">
    <w:name w:val="Balloon Text"/>
    <w:basedOn w:val="prastasis"/>
    <w:link w:val="DebesliotekstasDiagrama"/>
    <w:uiPriority w:val="99"/>
    <w:semiHidden/>
    <w:unhideWhenUsed/>
    <w:rsid w:val="00E470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0EC"/>
    <w:rPr>
      <w:rFonts w:ascii="Segoe UI" w:hAnsi="Segoe UI" w:cs="Segoe UI"/>
      <w:sz w:val="18"/>
      <w:szCs w:val="18"/>
      <w:lang w:eastAsia="ar-SA"/>
    </w:rPr>
  </w:style>
  <w:style w:type="paragraph" w:styleId="Antrats">
    <w:name w:val="header"/>
    <w:basedOn w:val="prastasis"/>
    <w:link w:val="AntratsDiagrama"/>
    <w:uiPriority w:val="99"/>
    <w:unhideWhenUsed/>
    <w:rsid w:val="00FC21A3"/>
    <w:pPr>
      <w:tabs>
        <w:tab w:val="center" w:pos="4819"/>
        <w:tab w:val="right" w:pos="9638"/>
      </w:tabs>
    </w:pPr>
  </w:style>
  <w:style w:type="character" w:customStyle="1" w:styleId="AntratsDiagrama">
    <w:name w:val="Antraštės Diagrama"/>
    <w:basedOn w:val="Numatytasispastraiposriftas"/>
    <w:link w:val="Antrats"/>
    <w:uiPriority w:val="99"/>
    <w:rsid w:val="00FC21A3"/>
    <w:rPr>
      <w:szCs w:val="20"/>
      <w:lang w:eastAsia="ar-SA"/>
    </w:rPr>
  </w:style>
  <w:style w:type="paragraph" w:styleId="Porat">
    <w:name w:val="footer"/>
    <w:basedOn w:val="prastasis"/>
    <w:link w:val="PoratDiagrama"/>
    <w:uiPriority w:val="99"/>
    <w:unhideWhenUsed/>
    <w:rsid w:val="00FC21A3"/>
    <w:pPr>
      <w:tabs>
        <w:tab w:val="center" w:pos="4819"/>
        <w:tab w:val="right" w:pos="9638"/>
      </w:tabs>
    </w:pPr>
  </w:style>
  <w:style w:type="character" w:customStyle="1" w:styleId="PoratDiagrama">
    <w:name w:val="Poraštė Diagrama"/>
    <w:basedOn w:val="Numatytasispastraiposriftas"/>
    <w:link w:val="Porat"/>
    <w:uiPriority w:val="99"/>
    <w:rsid w:val="00FC21A3"/>
    <w:rPr>
      <w:szCs w:val="20"/>
      <w:lang w:eastAsia="ar-SA"/>
    </w:rPr>
  </w:style>
  <w:style w:type="paragraph" w:styleId="Dokumentoinaostekstas">
    <w:name w:val="endnote text"/>
    <w:basedOn w:val="prastasis"/>
    <w:link w:val="DokumentoinaostekstasDiagrama"/>
    <w:uiPriority w:val="99"/>
    <w:semiHidden/>
    <w:unhideWhenUsed/>
    <w:rsid w:val="00D21F1C"/>
    <w:rPr>
      <w:sz w:val="20"/>
    </w:rPr>
  </w:style>
  <w:style w:type="character" w:customStyle="1" w:styleId="DokumentoinaostekstasDiagrama">
    <w:name w:val="Dokumento išnašos tekstas Diagrama"/>
    <w:basedOn w:val="Numatytasispastraiposriftas"/>
    <w:link w:val="Dokumentoinaostekstas"/>
    <w:uiPriority w:val="99"/>
    <w:semiHidden/>
    <w:rsid w:val="00D21F1C"/>
    <w:rPr>
      <w:sz w:val="20"/>
      <w:szCs w:val="20"/>
      <w:lang w:eastAsia="ar-SA"/>
    </w:rPr>
  </w:style>
  <w:style w:type="character" w:styleId="Dokumentoinaosnumeris">
    <w:name w:val="endnote reference"/>
    <w:basedOn w:val="Numatytasispastraiposriftas"/>
    <w:uiPriority w:val="99"/>
    <w:semiHidden/>
    <w:unhideWhenUsed/>
    <w:rsid w:val="00D21F1C"/>
    <w:rPr>
      <w:vertAlign w:val="superscript"/>
    </w:rPr>
  </w:style>
  <w:style w:type="table" w:customStyle="1" w:styleId="a1">
    <w:basedOn w:val="TableNormal0"/>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0"/>
    <w:rPr>
      <w:sz w:val="20"/>
      <w:szCs w:val="20"/>
    </w:rPr>
    <w:tblPr>
      <w:tblStyleRowBandSize w:val="1"/>
      <w:tblStyleColBandSize w:val="1"/>
      <w:tblCellMar>
        <w:top w:w="100" w:type="dxa"/>
        <w:left w:w="100" w:type="dxa"/>
        <w:bottom w:w="100" w:type="dxa"/>
        <w:right w:w="100" w:type="dxa"/>
      </w:tblCellMar>
    </w:tblPr>
  </w:style>
  <w:style w:type="paragraph" w:customStyle="1" w:styleId="BodyA">
    <w:name w:val="Body A"/>
    <w:rsid w:val="00A3415C"/>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Komentaronuoroda">
    <w:name w:val="annotation reference"/>
    <w:basedOn w:val="Numatytasispastraiposriftas"/>
    <w:uiPriority w:val="99"/>
    <w:semiHidden/>
    <w:unhideWhenUsed/>
    <w:rsid w:val="00225397"/>
    <w:rPr>
      <w:sz w:val="16"/>
      <w:szCs w:val="16"/>
    </w:rPr>
  </w:style>
  <w:style w:type="paragraph" w:styleId="Komentarotekstas">
    <w:name w:val="annotation text"/>
    <w:basedOn w:val="prastasis"/>
    <w:link w:val="KomentarotekstasDiagrama"/>
    <w:uiPriority w:val="99"/>
    <w:unhideWhenUsed/>
    <w:rsid w:val="00225397"/>
    <w:rPr>
      <w:sz w:val="20"/>
    </w:rPr>
  </w:style>
  <w:style w:type="character" w:customStyle="1" w:styleId="KomentarotekstasDiagrama">
    <w:name w:val="Komentaro tekstas Diagrama"/>
    <w:basedOn w:val="Numatytasispastraiposriftas"/>
    <w:link w:val="Komentarotekstas"/>
    <w:uiPriority w:val="99"/>
    <w:rsid w:val="00225397"/>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225397"/>
    <w:rPr>
      <w:b/>
      <w:bCs/>
    </w:rPr>
  </w:style>
  <w:style w:type="character" w:customStyle="1" w:styleId="KomentarotemaDiagrama">
    <w:name w:val="Komentaro tema Diagrama"/>
    <w:basedOn w:val="KomentarotekstasDiagrama"/>
    <w:link w:val="Komentarotema"/>
    <w:uiPriority w:val="99"/>
    <w:semiHidden/>
    <w:rsid w:val="00225397"/>
    <w:rPr>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6G2e3TyQsuS0PRu9Ks46Rrb4Q==">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Pages>
  <Words>2340</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Nabažienė</dc:creator>
  <cp:lastModifiedBy>Saulius Adomaitis</cp:lastModifiedBy>
  <cp:revision>14</cp:revision>
  <dcterms:created xsi:type="dcterms:W3CDTF">2025-09-11T10:27:00Z</dcterms:created>
  <dcterms:modified xsi:type="dcterms:W3CDTF">2025-10-23T06:40:00Z</dcterms:modified>
</cp:coreProperties>
</file>