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w:t>
      </w:r>
      <w:r w:rsidR="00EA3D26">
        <w:rPr>
          <w:rFonts w:eastAsia="Calibri"/>
          <w:sz w:val="20"/>
          <w:szCs w:val="20"/>
        </w:rPr>
        <w:t>11-</w:t>
      </w:r>
      <w:r w:rsidR="00EA3D26" w:rsidRPr="00A37DDB">
        <w:rPr>
          <w:rFonts w:eastAsia="Calibri"/>
          <w:sz w:val="20"/>
          <w:szCs w:val="20"/>
        </w:rPr>
        <w:t>11</w:t>
      </w:r>
      <w:r w:rsidR="00DE1ADD" w:rsidRPr="00A37DDB">
        <w:rPr>
          <w:rFonts w:eastAsia="Calibri"/>
          <w:sz w:val="20"/>
          <w:szCs w:val="20"/>
        </w:rPr>
        <w:t xml:space="preserve"> Nr. VP1-</w:t>
      </w:r>
      <w:r w:rsidR="00A37DDB" w:rsidRPr="00A37DDB">
        <w:rPr>
          <w:rFonts w:eastAsia="Calibri"/>
          <w:sz w:val="20"/>
          <w:szCs w:val="20"/>
        </w:rPr>
        <w:t>347</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EA3D26" w:rsidRDefault="00DD6139" w:rsidP="00DD6139">
      <w:pPr>
        <w:jc w:val="center"/>
        <w:rPr>
          <w:rFonts w:eastAsia="Calibri"/>
          <w:b/>
          <w:bCs/>
          <w:sz w:val="20"/>
          <w:szCs w:val="20"/>
        </w:rPr>
      </w:pPr>
      <w:r w:rsidRPr="00EA3D26">
        <w:rPr>
          <w:rFonts w:eastAsia="Calibri"/>
          <w:b/>
          <w:bCs/>
          <w:sz w:val="20"/>
          <w:szCs w:val="20"/>
        </w:rPr>
        <w:t>KVIETIMAS DALYVAUTI RINKOS KONSULTACIJOJE</w:t>
      </w:r>
      <w:r w:rsidR="009F554E" w:rsidRPr="00EA3D26">
        <w:rPr>
          <w:rFonts w:eastAsia="Calibri"/>
          <w:b/>
          <w:bCs/>
          <w:sz w:val="20"/>
          <w:szCs w:val="20"/>
        </w:rPr>
        <w:t xml:space="preserve"> </w:t>
      </w:r>
      <w:r w:rsidR="00DE1ADD" w:rsidRPr="00EA3D26">
        <w:rPr>
          <w:b/>
          <w:sz w:val="20"/>
          <w:szCs w:val="20"/>
        </w:rPr>
        <w:t>„</w:t>
      </w:r>
      <w:r w:rsidR="00EA3D26" w:rsidRPr="00EA3D26">
        <w:rPr>
          <w:b/>
          <w:color w:val="00241A"/>
          <w:sz w:val="20"/>
          <w:szCs w:val="20"/>
          <w:shd w:val="clear" w:color="auto" w:fill="FFFFFF"/>
        </w:rPr>
        <w:t>VAISTAI IR TIRPALAI (CPO NĖRA)</w:t>
      </w:r>
      <w:r w:rsidR="00DE1ADD" w:rsidRPr="00EA3D26">
        <w:rPr>
          <w:b/>
          <w:sz w:val="20"/>
          <w:szCs w:val="20"/>
        </w:rPr>
        <w:t>”</w:t>
      </w:r>
      <w:r w:rsidR="00693E5B" w:rsidRPr="00EA3D26">
        <w:rPr>
          <w:b/>
          <w:sz w:val="20"/>
          <w:szCs w:val="20"/>
        </w:rPr>
        <w:t xml:space="preserve"> </w:t>
      </w:r>
      <w:r w:rsidR="00A47AD6" w:rsidRPr="00EA3D26">
        <w:rPr>
          <w:b/>
          <w:sz w:val="20"/>
          <w:szCs w:val="20"/>
        </w:rPr>
        <w:t xml:space="preserve">(NUMERIS </w:t>
      </w:r>
      <w:bookmarkStart w:id="0" w:name="_GoBack"/>
      <w:bookmarkEnd w:id="0"/>
      <w:r w:rsidR="00A47AD6" w:rsidRPr="00EA3D26">
        <w:rPr>
          <w:b/>
          <w:sz w:val="20"/>
          <w:szCs w:val="20"/>
        </w:rPr>
        <w:t xml:space="preserve">CVP IS </w:t>
      </w:r>
      <w:r w:rsidR="00EA3D26" w:rsidRPr="00EA3D26">
        <w:rPr>
          <w:b/>
          <w:sz w:val="20"/>
          <w:szCs w:val="20"/>
        </w:rPr>
        <w:t>5356796</w:t>
      </w:r>
      <w:r w:rsidR="009F554E" w:rsidRPr="00EA3D26">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r w:rsidR="00EA3D26" w:rsidRPr="00EA3D26">
        <w:rPr>
          <w:b/>
          <w:color w:val="00241A"/>
          <w:sz w:val="20"/>
          <w:szCs w:val="20"/>
          <w:shd w:val="clear" w:color="auto" w:fill="FFFFFF"/>
        </w:rPr>
        <w:t>VAISTAI IR TIRPALAI (CPO NĖRA)</w:t>
      </w:r>
      <w:r w:rsidR="003D2908" w:rsidRPr="00F825BA">
        <w:rPr>
          <w:sz w:val="20"/>
          <w:szCs w:val="20"/>
        </w:rPr>
        <w:t>”</w:t>
      </w:r>
      <w:r w:rsidRPr="00F825BA">
        <w:rPr>
          <w:sz w:val="20"/>
          <w:szCs w:val="20"/>
        </w:rPr>
        <w:t xml:space="preserve"> </w:t>
      </w:r>
      <w:r w:rsidRPr="00F825BA">
        <w:rPr>
          <w:rFonts w:eastAsia="Calibri"/>
          <w:sz w:val="20"/>
          <w:szCs w:val="20"/>
        </w:rPr>
        <w:t xml:space="preserve">(toliau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w:t>
      </w:r>
      <w:r w:rsidR="00EA3D26">
        <w:rPr>
          <w:rFonts w:eastAsia="Calibri"/>
          <w:b/>
          <w:sz w:val="20"/>
          <w:szCs w:val="20"/>
        </w:rPr>
        <w:t>11-</w:t>
      </w:r>
      <w:proofErr w:type="gramStart"/>
      <w:r w:rsidR="00EA3D26">
        <w:rPr>
          <w:rFonts w:eastAsia="Calibri"/>
          <w:b/>
          <w:sz w:val="20"/>
          <w:szCs w:val="20"/>
        </w:rPr>
        <w:t>14</w:t>
      </w:r>
      <w:r w:rsidR="00DE1ADD" w:rsidRPr="008210EC">
        <w:rPr>
          <w:rFonts w:eastAsia="Calibri"/>
          <w:b/>
          <w:sz w:val="20"/>
          <w:szCs w:val="20"/>
        </w:rPr>
        <w:t xml:space="preserve">  </w:t>
      </w:r>
      <w:r w:rsidR="00FC240A">
        <w:rPr>
          <w:rFonts w:eastAsia="Calibri"/>
          <w:b/>
          <w:sz w:val="20"/>
          <w:szCs w:val="20"/>
        </w:rPr>
        <w:t>1</w:t>
      </w:r>
      <w:r w:rsidR="00EA3D26">
        <w:rPr>
          <w:rFonts w:eastAsia="Calibri"/>
          <w:b/>
          <w:sz w:val="20"/>
          <w:szCs w:val="20"/>
        </w:rPr>
        <w:t>0</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EA3D26">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FC240A">
              <w:rPr>
                <w:rFonts w:ascii="Times New Roman" w:hAnsi="Times New Roman"/>
                <w:b/>
                <w:sz w:val="20"/>
                <w:szCs w:val="20"/>
              </w:rPr>
              <w:t xml:space="preserve">, kai sutartis galios </w:t>
            </w:r>
            <w:r w:rsidR="00EA3D26">
              <w:rPr>
                <w:rFonts w:ascii="Times New Roman" w:hAnsi="Times New Roman"/>
                <w:b/>
                <w:sz w:val="20"/>
                <w:szCs w:val="20"/>
              </w:rPr>
              <w:t>12</w:t>
            </w:r>
            <w:r w:rsidR="00FC240A">
              <w:rPr>
                <w:rFonts w:ascii="Times New Roman" w:hAnsi="Times New Roman"/>
                <w:b/>
                <w:sz w:val="20"/>
                <w:szCs w:val="20"/>
              </w:rPr>
              <w:t xml:space="preserve"> mėnesi</w:t>
            </w:r>
            <w:r w:rsidR="00EA3D26">
              <w:rPr>
                <w:rFonts w:ascii="Times New Roman" w:hAnsi="Times New Roman"/>
                <w:b/>
                <w:sz w:val="20"/>
                <w:szCs w:val="20"/>
              </w:rPr>
              <w:t>ų</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EA3D26">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 terminas ne vėliau kaip per </w:t>
            </w:r>
            <w:r w:rsidR="00FC240A">
              <w:rPr>
                <w:rFonts w:ascii="Times New Roman" w:hAnsi="Times New Roman"/>
                <w:b/>
                <w:sz w:val="20"/>
                <w:szCs w:val="20"/>
              </w:rPr>
              <w:t>3</w:t>
            </w:r>
            <w:r w:rsidR="00AB10AC">
              <w:rPr>
                <w:rFonts w:ascii="Times New Roman" w:hAnsi="Times New Roman"/>
                <w:b/>
                <w:sz w:val="20"/>
                <w:szCs w:val="20"/>
              </w:rPr>
              <w:t xml:space="preserve"> dien</w:t>
            </w:r>
            <w:r w:rsidR="00FC240A">
              <w:rPr>
                <w:rFonts w:ascii="Times New Roman" w:hAnsi="Times New Roman"/>
                <w:b/>
                <w:sz w:val="20"/>
                <w:szCs w:val="20"/>
              </w:rPr>
              <w:t>as</w:t>
            </w:r>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 xml:space="preserve">riterijų, kuriuos perkančiosios organizacijos ir perkantieji </w:t>
            </w:r>
            <w:r w:rsidRPr="0049276B">
              <w:rPr>
                <w:sz w:val="20"/>
                <w:szCs w:val="20"/>
              </w:rPr>
              <w:lastRenderedPageBreak/>
              <w:t>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485" w:rsidRDefault="00AC3485">
      <w:r>
        <w:separator/>
      </w:r>
    </w:p>
  </w:endnote>
  <w:endnote w:type="continuationSeparator" w:id="0">
    <w:p w:rsidR="00AC3485" w:rsidRDefault="00AC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485" w:rsidRDefault="00AC3485">
      <w:r>
        <w:separator/>
      </w:r>
    </w:p>
  </w:footnote>
  <w:footnote w:type="continuationSeparator" w:id="0">
    <w:p w:rsidR="00AC3485" w:rsidRDefault="00AC3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37DDB"/>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485"/>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3D26"/>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2831-D2F4-485A-9B13-820B4CFF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6908</Words>
  <Characters>3938</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14</cp:revision>
  <cp:lastPrinted>2022-06-01T10:49:00Z</cp:lastPrinted>
  <dcterms:created xsi:type="dcterms:W3CDTF">2024-02-05T15:15:00Z</dcterms:created>
  <dcterms:modified xsi:type="dcterms:W3CDTF">2025-11-11T11:57:00Z</dcterms:modified>
</cp:coreProperties>
</file>