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722752" w:rsidRDefault="0001467F" w:rsidP="0001467F">
      <w:pPr>
        <w:jc w:val="right"/>
        <w:rPr>
          <w:b/>
          <w:i/>
          <w:color w:val="FF0000"/>
          <w:sz w:val="28"/>
          <w:szCs w:val="28"/>
        </w:rPr>
      </w:pPr>
      <w:r w:rsidRPr="002F418E">
        <w:t xml:space="preserve">Atviro </w:t>
      </w:r>
      <w:r>
        <w:t>(</w:t>
      </w:r>
      <w:r w:rsidR="003B4A7B">
        <w:t>tarptautinio</w:t>
      </w:r>
      <w:r>
        <w:t xml:space="preserve">) </w:t>
      </w:r>
      <w:r w:rsidRPr="002F418E">
        <w:t>konkurso sąlygų</w:t>
      </w:r>
    </w:p>
    <w:p w:rsidR="0001467F" w:rsidRPr="0001467F" w:rsidRDefault="00EB491B" w:rsidP="0001467F">
      <w:pPr>
        <w:jc w:val="right"/>
        <w:rPr>
          <w:i/>
        </w:rPr>
      </w:pPr>
      <w:r>
        <w:rPr>
          <w:i/>
        </w:rPr>
        <w:t>2</w:t>
      </w:r>
      <w:r w:rsidR="0001467F" w:rsidRPr="00B848A6">
        <w:rPr>
          <w:i/>
        </w:rPr>
        <w:t xml:space="preserve"> priedas</w:t>
      </w:r>
    </w:p>
    <w:p w:rsidR="001F5516" w:rsidRPr="00751627" w:rsidRDefault="001F5516" w:rsidP="001F5516">
      <w:pPr>
        <w:jc w:val="right"/>
        <w:rPr>
          <w:szCs w:val="28"/>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01467F" w:rsidRPr="00CA2EBD" w:rsidRDefault="003B4A7B" w:rsidP="0001467F">
      <w:pPr>
        <w:jc w:val="both"/>
        <w:rPr>
          <w:b/>
          <w:bCs/>
          <w:lang w:eastAsia="en-US"/>
        </w:rPr>
      </w:pPr>
      <w:r w:rsidRPr="003B4A7B">
        <w:rPr>
          <w:b/>
          <w:lang w:eastAsia="en-US"/>
        </w:rPr>
        <w:t>Lietuvos kariuomenės Logistikos va</w:t>
      </w:r>
      <w:r>
        <w:rPr>
          <w:b/>
          <w:lang w:eastAsia="en-US"/>
        </w:rPr>
        <w:t>ldybos Įgulų aptarnavimo</w:t>
      </w:r>
      <w:r w:rsidR="003031F2" w:rsidRPr="003031F2">
        <w:rPr>
          <w:b/>
          <w:lang w:eastAsia="en-US"/>
        </w:rPr>
        <w:t xml:space="preserve"> tarnyba</w:t>
      </w:r>
      <w:r w:rsidR="003031F2">
        <w:rPr>
          <w:b/>
          <w:lang w:eastAsia="en-US"/>
        </w:rPr>
        <w:t>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751627" w:rsidRDefault="001F5516" w:rsidP="001F5516">
      <w:pPr>
        <w:jc w:val="center"/>
        <w:rPr>
          <w:rFonts w:eastAsia="Calibri"/>
          <w:b/>
        </w:rPr>
      </w:pPr>
      <w:r w:rsidRPr="00751627">
        <w:rPr>
          <w:rFonts w:eastAsia="Calibri"/>
          <w:b/>
        </w:rPr>
        <w:t>PASIŪLYMAS</w:t>
      </w:r>
    </w:p>
    <w:p w:rsidR="001F5516" w:rsidRPr="003031F2" w:rsidRDefault="00CC3877" w:rsidP="001F5516">
      <w:pPr>
        <w:jc w:val="center"/>
        <w:rPr>
          <w:rFonts w:eastAsia="Calibri"/>
          <w:b/>
          <w:caps/>
        </w:rPr>
      </w:pPr>
      <w:r w:rsidRPr="003031F2">
        <w:rPr>
          <w:rFonts w:eastAsia="Calibri"/>
          <w:b/>
          <w:caps/>
        </w:rPr>
        <w:t xml:space="preserve">DĖL </w:t>
      </w:r>
      <w:r w:rsidR="003B4A7B" w:rsidRPr="003B4A7B">
        <w:rPr>
          <w:rFonts w:eastAsia="Calibri"/>
          <w:b/>
          <w:caps/>
        </w:rPr>
        <w:t xml:space="preserve">Geležinkelio privažiavimo kelių griovimo </w:t>
      </w:r>
      <w:r w:rsidR="003B4A7B" w:rsidRPr="003031F2">
        <w:rPr>
          <w:rFonts w:eastAsia="Calibri"/>
          <w:b/>
          <w:caps/>
        </w:rPr>
        <w:t>DARBŲ</w:t>
      </w:r>
      <w:r w:rsidR="003B4A7B" w:rsidRPr="003B4A7B">
        <w:rPr>
          <w:rFonts w:eastAsia="Calibri"/>
          <w:b/>
          <w:caps/>
        </w:rPr>
        <w:t xml:space="preserve"> (Radviliškio r. Linkaičių k. Arsenalo g. 7) </w:t>
      </w: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690980" w:rsidRPr="00690980" w:rsidRDefault="00690980" w:rsidP="00690980">
      <w:pPr>
        <w:jc w:val="right"/>
        <w:rPr>
          <w:rFonts w:eastAsiaTheme="minorHAnsi"/>
          <w:lang w:eastAsia="en-US"/>
        </w:rPr>
      </w:pPr>
      <w:r w:rsidRPr="00690980">
        <w:rPr>
          <w:i/>
        </w:rPr>
        <w:t>1 lentelė:</w:t>
      </w:r>
    </w:p>
    <w:p w:rsidR="00180D22" w:rsidRPr="00180D22" w:rsidRDefault="00180D22" w:rsidP="00180D22">
      <w:pPr>
        <w:suppressAutoHyphens/>
        <w:ind w:firstLine="567"/>
        <w:jc w:val="right"/>
        <w:rPr>
          <w:i/>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7B3553" w:rsidRDefault="007B3553"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3B4A7B">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1.1.3. kituose pirkimo dokumentuose (jų paaiškinimuose, papildymuose).</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 xml:space="preserve">Esame rūpestingai ir nuosekliai išnagrinėję visus pirkimo dokumentus ir pirkimo objektą, t. y. esame įvertinę visus reikiamus atlikti darbus pagal pridedamo techninio </w:t>
      </w:r>
      <w:r w:rsidR="003031F2">
        <w:t xml:space="preserve">darbo </w:t>
      </w:r>
      <w:r w:rsidRPr="00BC05FF">
        <w:t>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690980" w:rsidRDefault="00180D22" w:rsidP="008939CB">
      <w:pPr>
        <w:ind w:right="104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4869"/>
        <w:gridCol w:w="4678"/>
      </w:tblGrid>
      <w:tr w:rsidR="00982A8A" w:rsidRPr="00CC3877" w:rsidTr="00EF3A76">
        <w:trPr>
          <w:trHeight w:val="596"/>
        </w:trPr>
        <w:tc>
          <w:tcPr>
            <w:tcW w:w="447" w:type="pct"/>
            <w:tcMar>
              <w:top w:w="0" w:type="dxa"/>
              <w:left w:w="108" w:type="dxa"/>
              <w:bottom w:w="0" w:type="dxa"/>
              <w:right w:w="108" w:type="dxa"/>
            </w:tcMa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Eil. Nr.</w:t>
            </w:r>
          </w:p>
        </w:tc>
        <w:tc>
          <w:tcPr>
            <w:tcW w:w="2322" w:type="pct"/>
            <w:tcMar>
              <w:top w:w="0" w:type="dxa"/>
              <w:left w:w="108" w:type="dxa"/>
              <w:bottom w:w="0" w:type="dxa"/>
              <w:right w:w="108" w:type="dxa"/>
            </w:tcMar>
            <w:vAlign w:val="cente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Darbų pavadinimas</w:t>
            </w:r>
          </w:p>
        </w:tc>
        <w:tc>
          <w:tcPr>
            <w:tcW w:w="2231" w:type="pct"/>
            <w:tcMar>
              <w:top w:w="0" w:type="dxa"/>
              <w:left w:w="108" w:type="dxa"/>
              <w:bottom w:w="0" w:type="dxa"/>
              <w:right w:w="108" w:type="dxa"/>
            </w:tcMar>
            <w:vAlign w:val="cente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 xml:space="preserve">Darbų kaina, </w:t>
            </w:r>
            <w:proofErr w:type="spellStart"/>
            <w:r w:rsidRPr="00CC3877">
              <w:rPr>
                <w:b/>
                <w:bCs/>
                <w:sz w:val="22"/>
                <w:szCs w:val="22"/>
                <w:lang w:eastAsia="en-US"/>
              </w:rPr>
              <w:t>Eur</w:t>
            </w:r>
            <w:proofErr w:type="spellEnd"/>
            <w:r w:rsidRPr="00CC3877">
              <w:rPr>
                <w:b/>
                <w:bCs/>
                <w:sz w:val="22"/>
                <w:szCs w:val="22"/>
                <w:lang w:eastAsia="en-US"/>
              </w:rPr>
              <w:t xml:space="preserve"> be PVM</w:t>
            </w:r>
          </w:p>
        </w:tc>
      </w:tr>
      <w:tr w:rsidR="00982A8A" w:rsidRPr="00CC3877" w:rsidTr="00EF3A76">
        <w:trPr>
          <w:trHeight w:val="387"/>
        </w:trPr>
        <w:tc>
          <w:tcPr>
            <w:tcW w:w="5000" w:type="pct"/>
            <w:gridSpan w:val="3"/>
            <w:shd w:val="clear" w:color="auto" w:fill="F2F2F2"/>
            <w:tcMar>
              <w:top w:w="0" w:type="dxa"/>
              <w:left w:w="108" w:type="dxa"/>
              <w:bottom w:w="0" w:type="dxa"/>
              <w:right w:w="108" w:type="dxa"/>
            </w:tcMar>
            <w:vAlign w:val="center"/>
          </w:tcPr>
          <w:p w:rsidR="00982A8A" w:rsidRPr="00CC3877" w:rsidRDefault="00982A8A" w:rsidP="00EF3A76">
            <w:pPr>
              <w:jc w:val="both"/>
              <w:rPr>
                <w:rFonts w:eastAsia="TimesNewRomanPS-BoldMT"/>
                <w:b/>
                <w:bCs/>
                <w:sz w:val="20"/>
                <w:szCs w:val="20"/>
                <w:lang w:eastAsia="en-US"/>
              </w:rPr>
            </w:pPr>
          </w:p>
          <w:p w:rsidR="00982A8A" w:rsidRPr="00CC3877" w:rsidRDefault="00982A8A" w:rsidP="00EF3A76">
            <w:pPr>
              <w:spacing w:line="252" w:lineRule="auto"/>
              <w:jc w:val="center"/>
              <w:rPr>
                <w:b/>
                <w:bCs/>
                <w:sz w:val="22"/>
                <w:szCs w:val="22"/>
                <w:lang w:eastAsia="en-US"/>
              </w:rPr>
            </w:pPr>
            <w:r w:rsidRPr="00982A8A">
              <w:rPr>
                <w:b/>
                <w:color w:val="000000" w:themeColor="text1"/>
                <w:sz w:val="20"/>
                <w:szCs w:val="20"/>
                <w:lang w:eastAsia="en-US"/>
              </w:rPr>
              <w:t>Geležinkelio privažiavimo kelių griovimo darbai (Radviliškio r. Linkaičių k. Arsenalo g. 7)</w:t>
            </w:r>
          </w:p>
        </w:tc>
      </w:tr>
      <w:tr w:rsidR="00982A8A" w:rsidRPr="00CC3877" w:rsidTr="00EF3A76">
        <w:trPr>
          <w:trHeight w:val="387"/>
        </w:trPr>
        <w:tc>
          <w:tcPr>
            <w:tcW w:w="447" w:type="pct"/>
            <w:shd w:val="clear" w:color="auto" w:fill="F2F2F2"/>
            <w:tcMar>
              <w:top w:w="0" w:type="dxa"/>
              <w:left w:w="108" w:type="dxa"/>
              <w:bottom w:w="0" w:type="dxa"/>
              <w:right w:w="108" w:type="dxa"/>
            </w:tcMar>
            <w:vAlign w:val="cente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1.</w:t>
            </w:r>
          </w:p>
        </w:tc>
        <w:tc>
          <w:tcPr>
            <w:tcW w:w="2322" w:type="pct"/>
            <w:shd w:val="clear" w:color="auto" w:fill="F2F2F2"/>
            <w:tcMar>
              <w:top w:w="0" w:type="dxa"/>
              <w:left w:w="108" w:type="dxa"/>
              <w:bottom w:w="0" w:type="dxa"/>
              <w:right w:w="108" w:type="dxa"/>
            </w:tcMar>
            <w:vAlign w:val="center"/>
            <w:hideMark/>
          </w:tcPr>
          <w:p w:rsidR="00982A8A" w:rsidRPr="00CC3877" w:rsidRDefault="00982A8A" w:rsidP="00EF3A76">
            <w:pPr>
              <w:spacing w:line="252" w:lineRule="auto"/>
              <w:jc w:val="both"/>
              <w:rPr>
                <w:b/>
                <w:bCs/>
                <w:sz w:val="22"/>
                <w:szCs w:val="22"/>
                <w:lang w:eastAsia="en-US"/>
              </w:rPr>
            </w:pPr>
            <w:r>
              <w:rPr>
                <w:b/>
                <w:bCs/>
                <w:sz w:val="22"/>
                <w:szCs w:val="22"/>
              </w:rPr>
              <w:t>Aprašo parengimo</w:t>
            </w:r>
            <w:r w:rsidRPr="00CC3877">
              <w:rPr>
                <w:b/>
                <w:bCs/>
                <w:sz w:val="22"/>
                <w:szCs w:val="22"/>
              </w:rPr>
              <w:t xml:space="preserve"> paslaugos</w:t>
            </w:r>
          </w:p>
        </w:tc>
        <w:tc>
          <w:tcPr>
            <w:tcW w:w="2231" w:type="pct"/>
            <w:shd w:val="clear" w:color="auto" w:fill="F2F2F2"/>
            <w:tcMar>
              <w:top w:w="0" w:type="dxa"/>
              <w:left w:w="108" w:type="dxa"/>
              <w:bottom w:w="0" w:type="dxa"/>
              <w:right w:w="108" w:type="dxa"/>
            </w:tcMar>
            <w:vAlign w:val="center"/>
          </w:tcPr>
          <w:p w:rsidR="00982A8A" w:rsidRPr="00CC3877" w:rsidRDefault="00982A8A" w:rsidP="00EF3A76">
            <w:pPr>
              <w:spacing w:line="252" w:lineRule="auto"/>
              <w:jc w:val="both"/>
              <w:rPr>
                <w:b/>
                <w:bCs/>
                <w:sz w:val="22"/>
                <w:szCs w:val="22"/>
                <w:lang w:eastAsia="en-US"/>
              </w:rPr>
            </w:pPr>
          </w:p>
        </w:tc>
      </w:tr>
      <w:tr w:rsidR="00982A8A" w:rsidRPr="00CC3877" w:rsidTr="00EF3A76">
        <w:trPr>
          <w:trHeight w:val="387"/>
        </w:trPr>
        <w:tc>
          <w:tcPr>
            <w:tcW w:w="447" w:type="pct"/>
            <w:shd w:val="clear" w:color="auto" w:fill="FFFFFF"/>
            <w:tcMar>
              <w:top w:w="0" w:type="dxa"/>
              <w:left w:w="108" w:type="dxa"/>
              <w:bottom w:w="0" w:type="dxa"/>
              <w:right w:w="108" w:type="dxa"/>
            </w:tcMar>
            <w:vAlign w:val="center"/>
            <w:hideMark/>
          </w:tcPr>
          <w:p w:rsidR="00982A8A" w:rsidRPr="00CC3877" w:rsidRDefault="00982A8A" w:rsidP="00EF3A76">
            <w:pPr>
              <w:spacing w:line="252" w:lineRule="auto"/>
              <w:jc w:val="center"/>
              <w:rPr>
                <w:b/>
                <w:bCs/>
                <w:sz w:val="22"/>
                <w:szCs w:val="22"/>
                <w:lang w:eastAsia="en-US"/>
              </w:rPr>
            </w:pPr>
            <w:r w:rsidRPr="00CC3877">
              <w:rPr>
                <w:sz w:val="22"/>
                <w:szCs w:val="22"/>
                <w:lang w:eastAsia="en-US"/>
              </w:rPr>
              <w:t>1.1.</w:t>
            </w:r>
          </w:p>
        </w:tc>
        <w:tc>
          <w:tcPr>
            <w:tcW w:w="2322" w:type="pct"/>
            <w:shd w:val="clear" w:color="auto" w:fill="FFFFFF"/>
            <w:tcMar>
              <w:top w:w="0" w:type="dxa"/>
              <w:left w:w="108" w:type="dxa"/>
              <w:bottom w:w="0" w:type="dxa"/>
              <w:right w:w="108" w:type="dxa"/>
            </w:tcMar>
            <w:vAlign w:val="center"/>
            <w:hideMark/>
          </w:tcPr>
          <w:p w:rsidR="00982A8A" w:rsidRPr="00CC3877" w:rsidRDefault="00982A8A" w:rsidP="00EF3A76">
            <w:pPr>
              <w:spacing w:line="252" w:lineRule="auto"/>
              <w:jc w:val="both"/>
              <w:rPr>
                <w:b/>
                <w:bCs/>
                <w:sz w:val="22"/>
                <w:szCs w:val="22"/>
              </w:rPr>
            </w:pPr>
            <w:r w:rsidRPr="00D41045">
              <w:rPr>
                <w:sz w:val="22"/>
                <w:szCs w:val="22"/>
                <w:lang w:eastAsia="en-US"/>
              </w:rPr>
              <w:t>Griovimo darbų aprašo parengimas</w:t>
            </w:r>
          </w:p>
        </w:tc>
        <w:tc>
          <w:tcPr>
            <w:tcW w:w="2231" w:type="pct"/>
            <w:shd w:val="clear" w:color="auto" w:fill="FFFFFF"/>
            <w:tcMar>
              <w:top w:w="0" w:type="dxa"/>
              <w:left w:w="108" w:type="dxa"/>
              <w:bottom w:w="0" w:type="dxa"/>
              <w:right w:w="108" w:type="dxa"/>
            </w:tcMa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982A8A" w:rsidRPr="00CC3877" w:rsidRDefault="00982A8A" w:rsidP="00EF3A76">
            <w:pPr>
              <w:spacing w:line="252" w:lineRule="auto"/>
              <w:jc w:val="both"/>
              <w:rPr>
                <w:b/>
                <w:bCs/>
                <w:sz w:val="22"/>
                <w:szCs w:val="22"/>
                <w:lang w:eastAsia="en-US"/>
              </w:rPr>
            </w:pPr>
            <w:r w:rsidRPr="00CC3877">
              <w:rPr>
                <w:b/>
                <w:bCs/>
                <w:i/>
                <w:iCs/>
                <w:sz w:val="22"/>
                <w:szCs w:val="22"/>
                <w:lang w:eastAsia="en-US"/>
              </w:rPr>
              <w:t>             </w:t>
            </w:r>
            <w:r>
              <w:rPr>
                <w:b/>
                <w:bCs/>
                <w:i/>
                <w:iCs/>
                <w:sz w:val="22"/>
                <w:szCs w:val="22"/>
                <w:lang w:eastAsia="en-US"/>
              </w:rPr>
              <w:t xml:space="preserve">               </w:t>
            </w:r>
            <w:r w:rsidRPr="00CC3877">
              <w:rPr>
                <w:b/>
                <w:bCs/>
                <w:i/>
                <w:iCs/>
                <w:sz w:val="22"/>
                <w:szCs w:val="22"/>
                <w:lang w:eastAsia="en-US"/>
              </w:rPr>
              <w:t xml:space="preserve"> (skaičiais ir žodžiais)</w:t>
            </w:r>
          </w:p>
        </w:tc>
      </w:tr>
      <w:tr w:rsidR="00982A8A" w:rsidRPr="00CC3877" w:rsidTr="00EF3A76">
        <w:trPr>
          <w:trHeight w:val="387"/>
        </w:trPr>
        <w:tc>
          <w:tcPr>
            <w:tcW w:w="447" w:type="pct"/>
            <w:shd w:val="clear" w:color="auto" w:fill="F2F2F2"/>
            <w:tcMar>
              <w:top w:w="0" w:type="dxa"/>
              <w:left w:w="108" w:type="dxa"/>
              <w:bottom w:w="0" w:type="dxa"/>
              <w:right w:w="108" w:type="dxa"/>
            </w:tcMar>
            <w:vAlign w:val="center"/>
            <w:hideMark/>
          </w:tcPr>
          <w:p w:rsidR="00982A8A" w:rsidRPr="00CC3877" w:rsidRDefault="00982A8A" w:rsidP="00EF3A76">
            <w:pPr>
              <w:spacing w:line="252" w:lineRule="auto"/>
              <w:jc w:val="center"/>
              <w:rPr>
                <w:sz w:val="22"/>
                <w:szCs w:val="22"/>
                <w:lang w:eastAsia="en-US"/>
              </w:rPr>
            </w:pPr>
            <w:r w:rsidRPr="00CC3877">
              <w:rPr>
                <w:b/>
                <w:bCs/>
                <w:sz w:val="22"/>
                <w:szCs w:val="22"/>
                <w:lang w:eastAsia="en-US"/>
              </w:rPr>
              <w:t>2.</w:t>
            </w:r>
          </w:p>
        </w:tc>
        <w:tc>
          <w:tcPr>
            <w:tcW w:w="2322" w:type="pct"/>
            <w:shd w:val="clear" w:color="auto" w:fill="F2F2F2"/>
            <w:tcMar>
              <w:top w:w="0" w:type="dxa"/>
              <w:left w:w="108" w:type="dxa"/>
              <w:bottom w:w="0" w:type="dxa"/>
              <w:right w:w="108" w:type="dxa"/>
            </w:tcMar>
            <w:vAlign w:val="center"/>
            <w:hideMark/>
          </w:tcPr>
          <w:p w:rsidR="00982A8A" w:rsidRPr="00CC3877" w:rsidRDefault="00982A8A" w:rsidP="00EF3A76">
            <w:pPr>
              <w:spacing w:line="252" w:lineRule="auto"/>
              <w:jc w:val="both"/>
              <w:rPr>
                <w:sz w:val="22"/>
                <w:szCs w:val="22"/>
                <w:lang w:eastAsia="en-US"/>
              </w:rPr>
            </w:pPr>
            <w:r w:rsidRPr="00CC3877">
              <w:rPr>
                <w:b/>
                <w:bCs/>
                <w:sz w:val="22"/>
                <w:szCs w:val="22"/>
                <w:lang w:eastAsia="en-US"/>
              </w:rPr>
              <w:t>Statybos darbai</w:t>
            </w:r>
          </w:p>
        </w:tc>
        <w:tc>
          <w:tcPr>
            <w:tcW w:w="2231" w:type="pct"/>
            <w:shd w:val="clear" w:color="auto" w:fill="F2F2F2"/>
            <w:tcMar>
              <w:top w:w="0" w:type="dxa"/>
              <w:left w:w="108" w:type="dxa"/>
              <w:bottom w:w="0" w:type="dxa"/>
              <w:right w:w="108" w:type="dxa"/>
            </w:tcMar>
          </w:tcPr>
          <w:p w:rsidR="00982A8A" w:rsidRPr="00CC3877" w:rsidRDefault="00982A8A" w:rsidP="00EF3A76">
            <w:pPr>
              <w:spacing w:line="252" w:lineRule="auto"/>
              <w:jc w:val="center"/>
              <w:rPr>
                <w:b/>
                <w:bCs/>
                <w:sz w:val="22"/>
                <w:szCs w:val="22"/>
                <w:lang w:eastAsia="en-US"/>
              </w:rPr>
            </w:pPr>
          </w:p>
        </w:tc>
      </w:tr>
      <w:tr w:rsidR="00982A8A" w:rsidRPr="00CC3877" w:rsidTr="00EF3A76">
        <w:tc>
          <w:tcPr>
            <w:tcW w:w="447" w:type="pct"/>
            <w:tcMar>
              <w:top w:w="0" w:type="dxa"/>
              <w:left w:w="108" w:type="dxa"/>
              <w:bottom w:w="0" w:type="dxa"/>
              <w:right w:w="108" w:type="dxa"/>
            </w:tcMar>
            <w:vAlign w:val="center"/>
            <w:hideMark/>
          </w:tcPr>
          <w:p w:rsidR="00982A8A" w:rsidRPr="00CC3877" w:rsidRDefault="00982A8A" w:rsidP="00EF3A76">
            <w:pPr>
              <w:spacing w:line="252" w:lineRule="auto"/>
              <w:jc w:val="center"/>
              <w:rPr>
                <w:sz w:val="22"/>
                <w:szCs w:val="22"/>
                <w:lang w:eastAsia="en-US"/>
              </w:rPr>
            </w:pPr>
            <w:r w:rsidRPr="00CC3877">
              <w:rPr>
                <w:sz w:val="22"/>
                <w:szCs w:val="22"/>
                <w:lang w:eastAsia="en-US"/>
              </w:rPr>
              <w:t>2.1.</w:t>
            </w:r>
          </w:p>
        </w:tc>
        <w:tc>
          <w:tcPr>
            <w:tcW w:w="2322" w:type="pct"/>
            <w:tcMar>
              <w:top w:w="0" w:type="dxa"/>
              <w:left w:w="108" w:type="dxa"/>
              <w:bottom w:w="0" w:type="dxa"/>
              <w:right w:w="108" w:type="dxa"/>
            </w:tcMar>
            <w:vAlign w:val="center"/>
            <w:hideMark/>
          </w:tcPr>
          <w:p w:rsidR="00982A8A" w:rsidRPr="00982A8A" w:rsidRDefault="00982A8A" w:rsidP="00EF3A76">
            <w:pPr>
              <w:spacing w:line="252" w:lineRule="auto"/>
              <w:jc w:val="both"/>
              <w:rPr>
                <w:bCs/>
                <w:sz w:val="22"/>
                <w:szCs w:val="22"/>
                <w:lang w:eastAsia="en-US"/>
              </w:rPr>
            </w:pPr>
            <w:r w:rsidRPr="00982A8A">
              <w:rPr>
                <w:color w:val="000000" w:themeColor="text1"/>
                <w:sz w:val="20"/>
                <w:szCs w:val="20"/>
                <w:lang w:eastAsia="en-US"/>
              </w:rPr>
              <w:t>Geležinkelio privažiavimo kelių griovimo darbai</w:t>
            </w:r>
          </w:p>
        </w:tc>
        <w:tc>
          <w:tcPr>
            <w:tcW w:w="2231" w:type="pct"/>
            <w:tcMar>
              <w:top w:w="0" w:type="dxa"/>
              <w:left w:w="108" w:type="dxa"/>
              <w:bottom w:w="0" w:type="dxa"/>
              <w:right w:w="108" w:type="dxa"/>
            </w:tcMa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982A8A" w:rsidRPr="00982A8A" w:rsidRDefault="00982A8A" w:rsidP="00982A8A">
            <w:pPr>
              <w:spacing w:line="252" w:lineRule="auto"/>
              <w:jc w:val="center"/>
              <w:rPr>
                <w:i/>
                <w:iCs/>
                <w:sz w:val="22"/>
                <w:szCs w:val="22"/>
                <w:lang w:eastAsia="en-US"/>
              </w:rPr>
            </w:pPr>
            <w:r w:rsidRPr="00CC3877">
              <w:rPr>
                <w:b/>
                <w:bCs/>
                <w:i/>
                <w:iCs/>
                <w:sz w:val="22"/>
                <w:szCs w:val="22"/>
                <w:lang w:eastAsia="en-US"/>
              </w:rPr>
              <w:t>(skaičiais ir žodžiais)</w:t>
            </w:r>
            <w:r w:rsidRPr="00CC3877">
              <w:rPr>
                <w:i/>
                <w:iCs/>
                <w:sz w:val="22"/>
                <w:szCs w:val="22"/>
                <w:lang w:eastAsia="en-US"/>
              </w:rPr>
              <w:t xml:space="preserve"> </w:t>
            </w:r>
          </w:p>
        </w:tc>
      </w:tr>
      <w:tr w:rsidR="00982A8A" w:rsidRPr="00CC3877" w:rsidTr="00EF3A76">
        <w:trPr>
          <w:trHeight w:val="381"/>
        </w:trPr>
        <w:tc>
          <w:tcPr>
            <w:tcW w:w="447" w:type="pct"/>
            <w:shd w:val="clear" w:color="auto" w:fill="F2F2F2"/>
            <w:tcMar>
              <w:top w:w="0" w:type="dxa"/>
              <w:left w:w="108" w:type="dxa"/>
              <w:bottom w:w="0" w:type="dxa"/>
              <w:right w:w="108" w:type="dxa"/>
            </w:tcMar>
            <w:vAlign w:val="center"/>
            <w:hideMark/>
          </w:tcPr>
          <w:p w:rsidR="00982A8A" w:rsidRPr="00CC3877" w:rsidRDefault="00982A8A" w:rsidP="00EF3A76">
            <w:pPr>
              <w:spacing w:line="252" w:lineRule="auto"/>
              <w:jc w:val="center"/>
              <w:rPr>
                <w:sz w:val="22"/>
                <w:szCs w:val="22"/>
                <w:lang w:eastAsia="en-US"/>
              </w:rPr>
            </w:pPr>
            <w:r w:rsidRPr="00CC3877">
              <w:rPr>
                <w:b/>
                <w:bCs/>
                <w:sz w:val="22"/>
                <w:szCs w:val="22"/>
                <w:lang w:eastAsia="en-US"/>
              </w:rPr>
              <w:t>3.</w:t>
            </w:r>
          </w:p>
        </w:tc>
        <w:tc>
          <w:tcPr>
            <w:tcW w:w="2322" w:type="pct"/>
            <w:shd w:val="clear" w:color="auto" w:fill="F2F2F2"/>
            <w:tcMar>
              <w:top w:w="0" w:type="dxa"/>
              <w:left w:w="108" w:type="dxa"/>
              <w:bottom w:w="0" w:type="dxa"/>
              <w:right w:w="108" w:type="dxa"/>
            </w:tcMar>
            <w:vAlign w:val="center"/>
            <w:hideMark/>
          </w:tcPr>
          <w:p w:rsidR="00982A8A" w:rsidRPr="00982A8A" w:rsidRDefault="00982A8A" w:rsidP="00982A8A">
            <w:pPr>
              <w:rPr>
                <w:b/>
                <w:sz w:val="22"/>
                <w:szCs w:val="22"/>
              </w:rPr>
            </w:pPr>
            <w:r w:rsidRPr="00846894">
              <w:rPr>
                <w:b/>
                <w:sz w:val="22"/>
                <w:szCs w:val="22"/>
              </w:rPr>
              <w:t>Statinio pripažinimo užbaigtu statyti procedūros ir inžinerinės paslaugos</w:t>
            </w:r>
          </w:p>
        </w:tc>
        <w:tc>
          <w:tcPr>
            <w:tcW w:w="2231" w:type="pct"/>
            <w:shd w:val="clear" w:color="auto" w:fill="F2F2F2"/>
            <w:tcMar>
              <w:top w:w="0" w:type="dxa"/>
              <w:left w:w="108" w:type="dxa"/>
              <w:bottom w:w="0" w:type="dxa"/>
              <w:right w:w="108" w:type="dxa"/>
            </w:tcMar>
          </w:tcPr>
          <w:p w:rsidR="00982A8A" w:rsidRPr="001D413A" w:rsidRDefault="00982A8A" w:rsidP="00EF3A76">
            <w:pPr>
              <w:spacing w:line="252" w:lineRule="auto"/>
              <w:jc w:val="center"/>
              <w:rPr>
                <w:i/>
                <w:sz w:val="22"/>
                <w:szCs w:val="22"/>
                <w:lang w:eastAsia="en-US"/>
              </w:rPr>
            </w:pPr>
          </w:p>
        </w:tc>
      </w:tr>
      <w:tr w:rsidR="00982A8A" w:rsidRPr="00CC3877" w:rsidTr="00EF3A76">
        <w:tc>
          <w:tcPr>
            <w:tcW w:w="447" w:type="pct"/>
            <w:tcMar>
              <w:top w:w="0" w:type="dxa"/>
              <w:left w:w="108" w:type="dxa"/>
              <w:bottom w:w="0" w:type="dxa"/>
              <w:right w:w="108" w:type="dxa"/>
            </w:tcMar>
            <w:vAlign w:val="center"/>
            <w:hideMark/>
          </w:tcPr>
          <w:p w:rsidR="00982A8A" w:rsidRPr="00CC3877" w:rsidRDefault="00982A8A" w:rsidP="00EF3A76">
            <w:pPr>
              <w:spacing w:line="252" w:lineRule="auto"/>
              <w:jc w:val="center"/>
              <w:rPr>
                <w:sz w:val="22"/>
                <w:szCs w:val="22"/>
                <w:lang w:eastAsia="en-US"/>
              </w:rPr>
            </w:pPr>
            <w:r w:rsidRPr="00CC3877">
              <w:rPr>
                <w:sz w:val="22"/>
                <w:szCs w:val="22"/>
                <w:lang w:eastAsia="en-US"/>
              </w:rPr>
              <w:t>3.1.</w:t>
            </w:r>
          </w:p>
        </w:tc>
        <w:tc>
          <w:tcPr>
            <w:tcW w:w="2322" w:type="pct"/>
            <w:tcMar>
              <w:top w:w="0" w:type="dxa"/>
              <w:left w:w="108" w:type="dxa"/>
              <w:bottom w:w="0" w:type="dxa"/>
              <w:right w:w="108" w:type="dxa"/>
            </w:tcMar>
            <w:vAlign w:val="center"/>
            <w:hideMark/>
          </w:tcPr>
          <w:p w:rsidR="00982A8A" w:rsidRPr="00846894" w:rsidRDefault="00982A8A" w:rsidP="00EF3A76">
            <w:pPr>
              <w:rPr>
                <w:b/>
                <w:sz w:val="22"/>
                <w:szCs w:val="22"/>
              </w:rPr>
            </w:pPr>
            <w:r>
              <w:rPr>
                <w:b/>
                <w:sz w:val="22"/>
                <w:szCs w:val="22"/>
              </w:rPr>
              <w:t>I</w:t>
            </w:r>
            <w:r w:rsidRPr="00846894">
              <w:rPr>
                <w:b/>
                <w:sz w:val="22"/>
                <w:szCs w:val="22"/>
              </w:rPr>
              <w:t>nžinerinės paslaugos</w:t>
            </w:r>
          </w:p>
          <w:p w:rsidR="00982A8A" w:rsidRPr="00CC3877" w:rsidRDefault="00982A8A" w:rsidP="00982A8A">
            <w:pPr>
              <w:spacing w:line="252" w:lineRule="auto"/>
              <w:jc w:val="both"/>
              <w:rPr>
                <w:b/>
                <w:bCs/>
                <w:sz w:val="22"/>
                <w:szCs w:val="22"/>
                <w:lang w:eastAsia="en-US"/>
              </w:rPr>
            </w:pPr>
            <w:r w:rsidRPr="00CC3877">
              <w:rPr>
                <w:i/>
                <w:sz w:val="22"/>
                <w:szCs w:val="22"/>
                <w:lang w:eastAsia="en-US"/>
              </w:rPr>
              <w:t>Inžinerinės paslaugos (</w:t>
            </w:r>
            <w:r w:rsidRPr="00C77588">
              <w:t>topografin</w:t>
            </w:r>
            <w:r>
              <w:t>ės</w:t>
            </w:r>
            <w:r w:rsidRPr="00C77588">
              <w:t xml:space="preserve"> nuotrauk</w:t>
            </w:r>
            <w:r>
              <w:t>os</w:t>
            </w:r>
            <w:r w:rsidRPr="00C77588">
              <w:t xml:space="preserve"> parengi</w:t>
            </w:r>
            <w:r>
              <w:t>mas</w:t>
            </w:r>
            <w:r w:rsidRPr="00C77588">
              <w:t>, kabelių tras</w:t>
            </w:r>
            <w:r>
              <w:t>ų</w:t>
            </w:r>
            <w:r w:rsidRPr="00C77588">
              <w:t xml:space="preserve"> tikslini</w:t>
            </w:r>
            <w:r>
              <w:t>mas</w:t>
            </w:r>
            <w:r w:rsidRPr="00C77588">
              <w:t xml:space="preserve"> vietoje, (statinių ir sklypo) kadastrinių matavimų byl</w:t>
            </w:r>
            <w:r>
              <w:t>ų</w:t>
            </w:r>
            <w:r w:rsidRPr="00C77588">
              <w:t xml:space="preserve"> </w:t>
            </w:r>
            <w:r>
              <w:t>pareng</w:t>
            </w:r>
            <w:r w:rsidRPr="00C77588">
              <w:t>i</w:t>
            </w:r>
            <w:r>
              <w:t>mas</w:t>
            </w:r>
            <w:r w:rsidRPr="00C77588">
              <w:t>, tvarking</w:t>
            </w:r>
            <w:r>
              <w:t xml:space="preserve">os </w:t>
            </w:r>
            <w:r w:rsidRPr="00C77588">
              <w:t>deklaracij</w:t>
            </w:r>
            <w:r>
              <w:t>os</w:t>
            </w:r>
            <w:r w:rsidRPr="00C77588">
              <w:t xml:space="preserve"> apie nugriautus statinius paruoši</w:t>
            </w:r>
            <w:r>
              <w:t>mas</w:t>
            </w:r>
            <w:r w:rsidRPr="00C77588">
              <w:t xml:space="preserve"> bei tinkamai paruošt</w:t>
            </w:r>
            <w:r>
              <w:t>os</w:t>
            </w:r>
            <w:r w:rsidRPr="00C77588">
              <w:t xml:space="preserve"> ir suderint</w:t>
            </w:r>
            <w:r>
              <w:t>os</w:t>
            </w:r>
            <w:r w:rsidRPr="00C77588">
              <w:t xml:space="preserve"> dokumentacij</w:t>
            </w:r>
            <w:r>
              <w:t>os</w:t>
            </w:r>
            <w:r w:rsidRPr="00C77588">
              <w:t>, reikaling</w:t>
            </w:r>
            <w:r>
              <w:t>os</w:t>
            </w:r>
            <w:r w:rsidRPr="00C77588">
              <w:t xml:space="preserve"> statinių nurašymui VĮ „Registrų centre</w:t>
            </w:r>
            <w:r>
              <w:t xml:space="preserve">“ </w:t>
            </w:r>
            <w:r w:rsidRPr="00C77588">
              <w:t>perd</w:t>
            </w:r>
            <w:r>
              <w:t>avimas</w:t>
            </w:r>
            <w:r w:rsidRPr="00C77588">
              <w:t xml:space="preserve"> </w:t>
            </w:r>
            <w:r w:rsidRPr="00C77588">
              <w:rPr>
                <w:b/>
              </w:rPr>
              <w:t>Užsakovui</w:t>
            </w:r>
            <w:r w:rsidRPr="00CC3877">
              <w:rPr>
                <w:i/>
                <w:sz w:val="22"/>
                <w:szCs w:val="22"/>
                <w:lang w:eastAsia="en-US"/>
              </w:rPr>
              <w:t>)</w:t>
            </w:r>
          </w:p>
        </w:tc>
        <w:tc>
          <w:tcPr>
            <w:tcW w:w="2231" w:type="pct"/>
            <w:tcMar>
              <w:top w:w="0" w:type="dxa"/>
              <w:left w:w="108" w:type="dxa"/>
              <w:bottom w:w="0" w:type="dxa"/>
              <w:right w:w="108" w:type="dxa"/>
            </w:tcMar>
            <w:vAlign w:val="center"/>
            <w:hideMark/>
          </w:tcPr>
          <w:p w:rsidR="00982A8A" w:rsidRPr="00CC3877" w:rsidRDefault="00982A8A" w:rsidP="00EF3A76">
            <w:pPr>
              <w:spacing w:line="252" w:lineRule="auto"/>
              <w:jc w:val="center"/>
              <w:rPr>
                <w:b/>
                <w:bCs/>
                <w:sz w:val="22"/>
                <w:szCs w:val="22"/>
                <w:lang w:eastAsia="en-US"/>
              </w:rPr>
            </w:pPr>
            <w:r w:rsidRPr="00CC3877">
              <w:rPr>
                <w:b/>
                <w:bCs/>
                <w:sz w:val="22"/>
                <w:szCs w:val="22"/>
                <w:lang w:eastAsia="en-US"/>
              </w:rPr>
              <w:t xml:space="preserve">.................................... </w:t>
            </w:r>
            <w:proofErr w:type="spellStart"/>
            <w:r w:rsidRPr="00CC3877">
              <w:rPr>
                <w:b/>
                <w:bCs/>
                <w:sz w:val="22"/>
                <w:szCs w:val="22"/>
                <w:lang w:eastAsia="en-US"/>
              </w:rPr>
              <w:t>Eur</w:t>
            </w:r>
            <w:proofErr w:type="spellEnd"/>
          </w:p>
          <w:p w:rsidR="00982A8A" w:rsidRPr="00CC3877" w:rsidRDefault="00982A8A" w:rsidP="00EF3A76">
            <w:pPr>
              <w:spacing w:line="252" w:lineRule="auto"/>
              <w:jc w:val="center"/>
              <w:rPr>
                <w:sz w:val="22"/>
                <w:szCs w:val="22"/>
                <w:lang w:eastAsia="en-US"/>
              </w:rPr>
            </w:pPr>
            <w:r w:rsidRPr="00CC3877">
              <w:rPr>
                <w:b/>
                <w:bCs/>
                <w:i/>
                <w:iCs/>
                <w:sz w:val="22"/>
                <w:szCs w:val="22"/>
                <w:lang w:eastAsia="en-US"/>
              </w:rPr>
              <w:t>(skaičiais ir žodžiais)</w:t>
            </w:r>
          </w:p>
        </w:tc>
      </w:tr>
      <w:tr w:rsidR="00982A8A" w:rsidRPr="00CC3877" w:rsidTr="00EF3A76">
        <w:trPr>
          <w:trHeight w:val="441"/>
        </w:trPr>
        <w:tc>
          <w:tcPr>
            <w:tcW w:w="2769" w:type="pct"/>
            <w:gridSpan w:val="2"/>
            <w:shd w:val="clear" w:color="auto" w:fill="FBE4D5" w:themeFill="accent2" w:themeFillTint="33"/>
            <w:tcMar>
              <w:top w:w="0" w:type="dxa"/>
              <w:left w:w="108" w:type="dxa"/>
              <w:bottom w:w="0" w:type="dxa"/>
              <w:right w:w="108" w:type="dxa"/>
            </w:tcMar>
            <w:vAlign w:val="center"/>
            <w:hideMark/>
          </w:tcPr>
          <w:p w:rsidR="00982A8A" w:rsidRPr="00CC3877" w:rsidRDefault="00982A8A" w:rsidP="00EF3A76">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BE PVM (1.1.+2.1.+3.1.)</w:t>
            </w:r>
          </w:p>
        </w:tc>
        <w:tc>
          <w:tcPr>
            <w:tcW w:w="2231" w:type="pct"/>
            <w:shd w:val="clear" w:color="auto" w:fill="FBE4D5" w:themeFill="accent2" w:themeFillTint="33"/>
            <w:tcMar>
              <w:top w:w="0" w:type="dxa"/>
              <w:left w:w="108" w:type="dxa"/>
              <w:bottom w:w="0" w:type="dxa"/>
              <w:right w:w="108" w:type="dxa"/>
            </w:tcMar>
            <w:vAlign w:val="center"/>
            <w:hideMark/>
          </w:tcPr>
          <w:p w:rsidR="00982A8A" w:rsidRDefault="00982A8A" w:rsidP="00EF3A76">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r w:rsidRPr="00CC3877">
              <w:rPr>
                <w:b/>
                <w:bCs/>
                <w:i/>
                <w:iCs/>
                <w:sz w:val="22"/>
                <w:szCs w:val="22"/>
                <w:lang w:eastAsia="en-US"/>
              </w:rPr>
              <w:t xml:space="preserve"> </w:t>
            </w:r>
          </w:p>
          <w:p w:rsidR="00982A8A" w:rsidRPr="00CC3877" w:rsidRDefault="00982A8A" w:rsidP="00EF3A76">
            <w:pPr>
              <w:spacing w:line="252" w:lineRule="auto"/>
              <w:jc w:val="center"/>
              <w:rPr>
                <w:b/>
                <w:bCs/>
                <w:i/>
                <w:iCs/>
                <w:sz w:val="22"/>
                <w:szCs w:val="22"/>
                <w:lang w:eastAsia="en-US"/>
              </w:rPr>
            </w:pPr>
            <w:r w:rsidRPr="00CC3877">
              <w:rPr>
                <w:b/>
                <w:bCs/>
                <w:i/>
                <w:iCs/>
                <w:sz w:val="22"/>
                <w:szCs w:val="22"/>
                <w:lang w:eastAsia="en-US"/>
              </w:rPr>
              <w:t>(skaičiais ir žodžiais)</w:t>
            </w:r>
          </w:p>
        </w:tc>
      </w:tr>
      <w:tr w:rsidR="00982A8A" w:rsidRPr="00CC3877" w:rsidTr="00EF3A76">
        <w:tc>
          <w:tcPr>
            <w:tcW w:w="2769" w:type="pct"/>
            <w:gridSpan w:val="2"/>
            <w:shd w:val="clear" w:color="auto" w:fill="FBE4D5" w:themeFill="accent2" w:themeFillTint="33"/>
            <w:tcMar>
              <w:top w:w="0" w:type="dxa"/>
              <w:left w:w="108" w:type="dxa"/>
              <w:bottom w:w="0" w:type="dxa"/>
              <w:right w:w="108" w:type="dxa"/>
            </w:tcMar>
            <w:vAlign w:val="center"/>
            <w:hideMark/>
          </w:tcPr>
          <w:p w:rsidR="00982A8A" w:rsidRPr="00CC3877" w:rsidRDefault="00982A8A" w:rsidP="00EF3A76">
            <w:pPr>
              <w:spacing w:line="252" w:lineRule="auto"/>
              <w:jc w:val="right"/>
              <w:rPr>
                <w:b/>
                <w:bCs/>
                <w:sz w:val="22"/>
                <w:szCs w:val="22"/>
                <w:lang w:eastAsia="en-US"/>
              </w:rPr>
            </w:pPr>
            <w:r w:rsidRPr="00CC3877">
              <w:rPr>
                <w:b/>
                <w:bCs/>
                <w:sz w:val="22"/>
                <w:szCs w:val="22"/>
                <w:lang w:eastAsia="en-US"/>
              </w:rPr>
              <w:t>PVM 21%</w:t>
            </w:r>
          </w:p>
        </w:tc>
        <w:tc>
          <w:tcPr>
            <w:tcW w:w="2231" w:type="pct"/>
            <w:shd w:val="clear" w:color="auto" w:fill="FBE4D5" w:themeFill="accent2" w:themeFillTint="33"/>
            <w:tcMar>
              <w:top w:w="0" w:type="dxa"/>
              <w:left w:w="108" w:type="dxa"/>
              <w:bottom w:w="0" w:type="dxa"/>
              <w:right w:w="108" w:type="dxa"/>
            </w:tcMar>
            <w:vAlign w:val="center"/>
            <w:hideMark/>
          </w:tcPr>
          <w:p w:rsidR="00982A8A" w:rsidRDefault="00982A8A" w:rsidP="00EF3A76">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982A8A" w:rsidRPr="00CC3877" w:rsidRDefault="00982A8A" w:rsidP="00EF3A76">
            <w:pPr>
              <w:spacing w:line="252" w:lineRule="auto"/>
              <w:jc w:val="center"/>
              <w:rPr>
                <w:b/>
                <w:bCs/>
                <w:i/>
                <w:iCs/>
                <w:sz w:val="22"/>
                <w:szCs w:val="22"/>
                <w:lang w:eastAsia="en-US"/>
              </w:rPr>
            </w:pPr>
            <w:r w:rsidRPr="00CC3877">
              <w:rPr>
                <w:b/>
                <w:bCs/>
                <w:i/>
                <w:iCs/>
                <w:sz w:val="22"/>
                <w:szCs w:val="22"/>
                <w:lang w:eastAsia="en-US"/>
              </w:rPr>
              <w:t xml:space="preserve"> (skaičiais ir žodžiais)</w:t>
            </w:r>
          </w:p>
        </w:tc>
      </w:tr>
      <w:tr w:rsidR="00982A8A" w:rsidRPr="00CC3877" w:rsidTr="00EF3A76">
        <w:trPr>
          <w:trHeight w:val="138"/>
        </w:trPr>
        <w:tc>
          <w:tcPr>
            <w:tcW w:w="2769" w:type="pct"/>
            <w:gridSpan w:val="2"/>
            <w:shd w:val="clear" w:color="auto" w:fill="FBE4D5" w:themeFill="accent2" w:themeFillTint="33"/>
            <w:tcMar>
              <w:top w:w="0" w:type="dxa"/>
              <w:left w:w="108" w:type="dxa"/>
              <w:bottom w:w="0" w:type="dxa"/>
              <w:right w:w="108" w:type="dxa"/>
            </w:tcMar>
            <w:vAlign w:val="center"/>
          </w:tcPr>
          <w:p w:rsidR="00982A8A" w:rsidRPr="00CC3877" w:rsidRDefault="00982A8A" w:rsidP="00EF3A76">
            <w:pPr>
              <w:spacing w:line="252" w:lineRule="auto"/>
              <w:jc w:val="center"/>
              <w:rPr>
                <w:b/>
                <w:bCs/>
                <w:sz w:val="22"/>
                <w:szCs w:val="22"/>
                <w:lang w:eastAsia="en-US"/>
              </w:rPr>
            </w:pPr>
          </w:p>
          <w:p w:rsidR="00982A8A" w:rsidRPr="00CC3877" w:rsidRDefault="00982A8A" w:rsidP="00EF3A76">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SU PVM</w:t>
            </w:r>
          </w:p>
          <w:p w:rsidR="00982A8A" w:rsidRPr="00CC3877" w:rsidRDefault="00982A8A" w:rsidP="00EF3A76">
            <w:pPr>
              <w:spacing w:line="252" w:lineRule="auto"/>
              <w:jc w:val="center"/>
              <w:rPr>
                <w:b/>
                <w:bCs/>
                <w:sz w:val="22"/>
                <w:szCs w:val="22"/>
                <w:lang w:eastAsia="en-US"/>
              </w:rPr>
            </w:pPr>
          </w:p>
        </w:tc>
        <w:tc>
          <w:tcPr>
            <w:tcW w:w="2231" w:type="pct"/>
            <w:shd w:val="clear" w:color="auto" w:fill="FBE4D5" w:themeFill="accent2" w:themeFillTint="33"/>
            <w:tcMar>
              <w:top w:w="0" w:type="dxa"/>
              <w:left w:w="108" w:type="dxa"/>
              <w:bottom w:w="0" w:type="dxa"/>
              <w:right w:w="108" w:type="dxa"/>
            </w:tcMar>
            <w:vAlign w:val="center"/>
            <w:hideMark/>
          </w:tcPr>
          <w:p w:rsidR="00982A8A" w:rsidRDefault="00982A8A" w:rsidP="00EF3A76">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982A8A" w:rsidRPr="00CC3877" w:rsidRDefault="00982A8A" w:rsidP="00EF3A76">
            <w:pPr>
              <w:spacing w:line="252" w:lineRule="auto"/>
              <w:jc w:val="center"/>
              <w:rPr>
                <w:b/>
                <w:bCs/>
                <w:sz w:val="22"/>
                <w:szCs w:val="22"/>
                <w:lang w:eastAsia="en-US"/>
              </w:rPr>
            </w:pPr>
            <w:r w:rsidRPr="00CC3877">
              <w:rPr>
                <w:b/>
                <w:bCs/>
                <w:i/>
                <w:iCs/>
                <w:sz w:val="22"/>
                <w:szCs w:val="22"/>
                <w:lang w:eastAsia="en-US"/>
              </w:rPr>
              <w:t xml:space="preserve"> (skaičiais ir žodžiais)</w:t>
            </w:r>
          </w:p>
        </w:tc>
      </w:tr>
    </w:tbl>
    <w:p w:rsidR="00CC3877" w:rsidRPr="00CC3877" w:rsidRDefault="00CC3877" w:rsidP="00CC3877">
      <w:pPr>
        <w:jc w:val="both"/>
        <w:rPr>
          <w:b/>
          <w:szCs w:val="20"/>
          <w:lang w:eastAsia="en-US"/>
        </w:rPr>
      </w:pPr>
    </w:p>
    <w:p w:rsidR="00C17E98" w:rsidRPr="00DE792F" w:rsidRDefault="006D6A2D" w:rsidP="00225831">
      <w:pPr>
        <w:jc w:val="both"/>
        <w:rPr>
          <w:color w:val="000000" w:themeColor="text1"/>
          <w:szCs w:val="20"/>
          <w:lang w:eastAsia="en-US"/>
        </w:rPr>
      </w:pPr>
      <w:r>
        <w:rPr>
          <w:b/>
          <w:szCs w:val="20"/>
          <w:lang w:eastAsia="en-US"/>
        </w:rPr>
        <w:tab/>
      </w:r>
      <w:r w:rsidR="006C4202">
        <w:rPr>
          <w:b/>
          <w:szCs w:val="20"/>
          <w:lang w:eastAsia="en-US"/>
        </w:rPr>
        <w:t xml:space="preserve"> </w:t>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6C4202" w:rsidRDefault="006C4202" w:rsidP="00DE792F">
      <w:pPr>
        <w:ind w:firstLine="567"/>
        <w:jc w:val="center"/>
        <w:rPr>
          <w:b/>
          <w:lang w:eastAsia="en-US"/>
        </w:rPr>
      </w:pPr>
    </w:p>
    <w:p w:rsidR="00DE792F" w:rsidRPr="006D6A2D" w:rsidRDefault="00DE792F" w:rsidP="006D6A2D">
      <w:pPr>
        <w:ind w:firstLine="567"/>
        <w:jc w:val="center"/>
        <w:rPr>
          <w:b/>
          <w:lang w:eastAsia="en-US"/>
        </w:rPr>
      </w:pPr>
      <w:r w:rsidRPr="00DE792F">
        <w:rPr>
          <w:b/>
          <w:lang w:eastAsia="en-US"/>
        </w:rPr>
        <w:t>3. INFORMACIJA APIE KIEKVIENO TIEKĖJŲ GRUPĖS PARTNERIO SAVO JĖGOMIS NUMATOMŲ ATLIKTI DALIES VERTĘ (PILDOMA, KAI PASIŪLYMĄ PATEIKIA TIEKĖJŲ GRUPĖ):</w:t>
      </w:r>
    </w:p>
    <w:p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rsidR="00DE792F" w:rsidRPr="00DE792F" w:rsidRDefault="00DE792F" w:rsidP="00DE792F">
      <w:pPr>
        <w:ind w:firstLine="567"/>
        <w:jc w:val="center"/>
        <w:rPr>
          <w:b/>
          <w:lang w:eastAsia="en-US"/>
        </w:rPr>
      </w:pP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6D6A2D" w:rsidRDefault="006D6A2D" w:rsidP="00DE792F">
      <w:pPr>
        <w:ind w:firstLine="567"/>
        <w:jc w:val="both"/>
        <w:rPr>
          <w:sz w:val="22"/>
          <w:szCs w:val="22"/>
          <w:lang w:eastAsia="en-US"/>
        </w:rPr>
      </w:pPr>
    </w:p>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6D6A2D" w:rsidRDefault="006D6A2D" w:rsidP="00DE792F">
      <w:pPr>
        <w:tabs>
          <w:tab w:val="left" w:pos="284"/>
        </w:tabs>
        <w:ind w:right="141"/>
        <w:jc w:val="center"/>
        <w:rPr>
          <w:b/>
          <w:lang w:eastAsia="en-US"/>
        </w:rPr>
      </w:pPr>
    </w:p>
    <w:p w:rsidR="0058506C" w:rsidRDefault="0058506C" w:rsidP="00DE792F">
      <w:pPr>
        <w:tabs>
          <w:tab w:val="left" w:pos="284"/>
        </w:tabs>
        <w:ind w:right="141"/>
        <w:jc w:val="center"/>
        <w:rPr>
          <w:b/>
          <w:lang w:eastAsia="en-US"/>
        </w:rPr>
      </w:pPr>
    </w:p>
    <w:p w:rsidR="0058506C" w:rsidRDefault="0058506C" w:rsidP="00DE792F">
      <w:pPr>
        <w:tabs>
          <w:tab w:val="left" w:pos="284"/>
        </w:tabs>
        <w:ind w:right="141"/>
        <w:jc w:val="center"/>
        <w:rPr>
          <w:b/>
          <w:lang w:eastAsia="en-US"/>
        </w:rPr>
      </w:pPr>
    </w:p>
    <w:p w:rsidR="0058506C" w:rsidRDefault="0058506C"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lastRenderedPageBreak/>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rsidR="00DE792F" w:rsidRPr="006D6A2D" w:rsidRDefault="00DE792F" w:rsidP="006D6A2D">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6D6A2D" w:rsidRDefault="006D6A2D" w:rsidP="00DE792F">
      <w:pPr>
        <w:ind w:firstLine="567"/>
        <w:jc w:val="both"/>
        <w:rPr>
          <w:sz w:val="22"/>
          <w:szCs w:val="22"/>
          <w:lang w:eastAsia="en-US"/>
        </w:rPr>
      </w:pPr>
    </w:p>
    <w:p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DE792F" w:rsidRPr="00DE792F" w:rsidRDefault="00DE792F"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DE792F" w:rsidRPr="00DE792F" w:rsidRDefault="00DE792F" w:rsidP="00DE792F">
      <w:pPr>
        <w:ind w:firstLine="567"/>
        <w:jc w:val="both"/>
        <w:rPr>
          <w:szCs w:val="20"/>
          <w:lang w:eastAsia="en-US"/>
        </w:rPr>
      </w:pPr>
    </w:p>
    <w:p w:rsidR="004A0F44" w:rsidRDefault="004A0F44" w:rsidP="00DE792F">
      <w:pPr>
        <w:ind w:firstLine="567"/>
        <w:jc w:val="center"/>
        <w:rPr>
          <w:b/>
        </w:rPr>
      </w:pPr>
    </w:p>
    <w:p w:rsidR="00DE792F" w:rsidRPr="00DE792F" w:rsidRDefault="00DE792F" w:rsidP="00DE792F">
      <w:pPr>
        <w:ind w:firstLine="567"/>
        <w:jc w:val="center"/>
        <w:rPr>
          <w:b/>
        </w:rPr>
      </w:pPr>
      <w:r w:rsidRPr="00DE792F">
        <w:rPr>
          <w:b/>
        </w:rPr>
        <w:t>7. PASIŪLYME KONFIDENCIALIĄ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jc w:val="both"/>
        <w:rPr>
          <w:b/>
          <w:i/>
          <w:sz w:val="22"/>
          <w:szCs w:val="22"/>
          <w:lang w:eastAsia="en-US"/>
        </w:rPr>
      </w:pP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Pr="00DE792F" w:rsidRDefault="00DE792F" w:rsidP="00DE792F">
      <w:pPr>
        <w:ind w:firstLine="567"/>
        <w:jc w:val="center"/>
        <w:rPr>
          <w:b/>
        </w:rPr>
      </w:pPr>
      <w:r w:rsidRPr="00DE792F">
        <w:rPr>
          <w:b/>
        </w:rPr>
        <w:t>8. SU PASIŪLYMU PATEIKIAMI DOKUMENTAI:</w:t>
      </w: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Pr="00DE792F" w:rsidRDefault="00DE792F" w:rsidP="00DE792F">
      <w:pPr>
        <w:suppressAutoHyphens/>
        <w:ind w:firstLine="567"/>
        <w:jc w:val="both"/>
        <w:rPr>
          <w:lang w:eastAsia="en-US"/>
        </w:rPr>
      </w:pPr>
      <w:bookmarkStart w:id="0" w:name="_GoBack"/>
      <w:bookmarkEnd w:id="0"/>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DE792F" w:rsidRDefault="00DE792F" w:rsidP="00DE792F">
      <w:pPr>
        <w:suppressAutoHyphens/>
        <w:jc w:val="both"/>
        <w:rPr>
          <w:i/>
          <w:szCs w:val="20"/>
          <w:lang w:eastAsia="en-US"/>
        </w:rPr>
      </w:pPr>
      <w:r w:rsidRPr="00DE792F">
        <w:rPr>
          <w:i/>
          <w:szCs w:val="20"/>
          <w:lang w:eastAsia="en-US"/>
        </w:rPr>
        <w:t>(Tiekėjo  ar jo  įgaliotas asmens                ( Parašas)</w:t>
      </w:r>
      <w:r w:rsidRPr="00DE792F">
        <w:rPr>
          <w:i/>
          <w:szCs w:val="20"/>
          <w:lang w:eastAsia="en-US"/>
        </w:rPr>
        <w:tab/>
        <w:t xml:space="preserve">                               (Vardas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1467F"/>
    <w:rsid w:val="000307ED"/>
    <w:rsid w:val="000D4088"/>
    <w:rsid w:val="001423AA"/>
    <w:rsid w:val="00147116"/>
    <w:rsid w:val="00180D22"/>
    <w:rsid w:val="001D413A"/>
    <w:rsid w:val="001F0BC4"/>
    <w:rsid w:val="001F5516"/>
    <w:rsid w:val="00225831"/>
    <w:rsid w:val="002638DD"/>
    <w:rsid w:val="002C73FD"/>
    <w:rsid w:val="003031F2"/>
    <w:rsid w:val="003B4A7B"/>
    <w:rsid w:val="00465BFE"/>
    <w:rsid w:val="00493097"/>
    <w:rsid w:val="004A0F44"/>
    <w:rsid w:val="005833A4"/>
    <w:rsid w:val="0058506C"/>
    <w:rsid w:val="00637782"/>
    <w:rsid w:val="006418DC"/>
    <w:rsid w:val="006549EB"/>
    <w:rsid w:val="00656AD0"/>
    <w:rsid w:val="006856FC"/>
    <w:rsid w:val="00690980"/>
    <w:rsid w:val="006C4202"/>
    <w:rsid w:val="006D6A2D"/>
    <w:rsid w:val="006F004F"/>
    <w:rsid w:val="006F381C"/>
    <w:rsid w:val="007901A7"/>
    <w:rsid w:val="00792DFE"/>
    <w:rsid w:val="007B3553"/>
    <w:rsid w:val="007C01B2"/>
    <w:rsid w:val="007F2F2D"/>
    <w:rsid w:val="008143EB"/>
    <w:rsid w:val="00823AB6"/>
    <w:rsid w:val="008939CB"/>
    <w:rsid w:val="009051E0"/>
    <w:rsid w:val="00942E88"/>
    <w:rsid w:val="00982A8A"/>
    <w:rsid w:val="00997C29"/>
    <w:rsid w:val="00A40F75"/>
    <w:rsid w:val="00A632F6"/>
    <w:rsid w:val="00AB1327"/>
    <w:rsid w:val="00AE4260"/>
    <w:rsid w:val="00B848A6"/>
    <w:rsid w:val="00B8541E"/>
    <w:rsid w:val="00B93B3F"/>
    <w:rsid w:val="00BB1B78"/>
    <w:rsid w:val="00BD51E0"/>
    <w:rsid w:val="00C17368"/>
    <w:rsid w:val="00C17E98"/>
    <w:rsid w:val="00C30050"/>
    <w:rsid w:val="00C5183B"/>
    <w:rsid w:val="00C82B35"/>
    <w:rsid w:val="00CC3877"/>
    <w:rsid w:val="00CE0DE1"/>
    <w:rsid w:val="00D14F4E"/>
    <w:rsid w:val="00DB1AC3"/>
    <w:rsid w:val="00DE29D6"/>
    <w:rsid w:val="00DE792F"/>
    <w:rsid w:val="00E32374"/>
    <w:rsid w:val="00EB491B"/>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 w:id="18031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5564-5CA5-4A14-9872-DB3AFACE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2</cp:revision>
  <dcterms:created xsi:type="dcterms:W3CDTF">2025-11-11T11:26:00Z</dcterms:created>
  <dcterms:modified xsi:type="dcterms:W3CDTF">2025-11-11T11:26:00Z</dcterms:modified>
</cp:coreProperties>
</file>