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A0C2" w14:textId="3E7DC565" w:rsidR="00A52C4E" w:rsidRPr="00390CE9" w:rsidRDefault="004C4CE4" w:rsidP="005041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A30DDF" w14:textId="697B82D0" w:rsidR="002C7D37" w:rsidRDefault="002C7D37" w:rsidP="002C7D37">
      <w:pPr>
        <w:tabs>
          <w:tab w:val="left" w:pos="-284"/>
          <w:tab w:val="left" w:pos="0"/>
          <w:tab w:val="left" w:pos="56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Gauti tiekėjų paklausimai .Teikiame atsakymus.</w:t>
      </w:r>
      <w:r w:rsidR="009515E6" w:rsidRPr="007349A7">
        <w:rPr>
          <w:i/>
          <w:sz w:val="24"/>
          <w:szCs w:val="24"/>
        </w:rPr>
        <w:tab/>
      </w:r>
    </w:p>
    <w:p w14:paraId="1EBC0016" w14:textId="77777777" w:rsidR="00DC738F" w:rsidRDefault="00DC738F" w:rsidP="00B67456">
      <w:pPr>
        <w:tabs>
          <w:tab w:val="left" w:pos="-284"/>
          <w:tab w:val="left" w:pos="0"/>
          <w:tab w:val="left" w:pos="567"/>
        </w:tabs>
        <w:jc w:val="center"/>
        <w:rPr>
          <w:i/>
          <w:sz w:val="24"/>
          <w:szCs w:val="24"/>
        </w:rPr>
      </w:pPr>
    </w:p>
    <w:p w14:paraId="17AD15A5" w14:textId="713C0EC2" w:rsidR="002C7D37" w:rsidRPr="002C7D37" w:rsidRDefault="002C7D37" w:rsidP="002C7D37">
      <w:pPr>
        <w:tabs>
          <w:tab w:val="left" w:pos="-284"/>
          <w:tab w:val="left" w:pos="0"/>
          <w:tab w:val="left" w:pos="567"/>
        </w:tabs>
        <w:rPr>
          <w:bCs/>
          <w:iCs/>
          <w:sz w:val="24"/>
          <w:szCs w:val="24"/>
        </w:rPr>
      </w:pPr>
      <w:r w:rsidRPr="002C7D37">
        <w:rPr>
          <w:iCs/>
          <w:sz w:val="24"/>
          <w:szCs w:val="24"/>
        </w:rPr>
        <w:t xml:space="preserve">1 pirkimo objekto dalis - </w:t>
      </w:r>
      <w:r w:rsidRPr="002C7D37">
        <w:rPr>
          <w:bCs/>
          <w:iCs/>
          <w:sz w:val="24"/>
          <w:szCs w:val="24"/>
        </w:rPr>
        <w:t>endoskopinė sistema</w:t>
      </w:r>
    </w:p>
    <w:p w14:paraId="1C6D4520" w14:textId="66240CC4" w:rsidR="009515E6" w:rsidRPr="007349A7" w:rsidRDefault="009515E6" w:rsidP="00B67456">
      <w:pPr>
        <w:tabs>
          <w:tab w:val="left" w:pos="-284"/>
          <w:tab w:val="left" w:pos="0"/>
          <w:tab w:val="left" w:pos="567"/>
        </w:tabs>
        <w:jc w:val="center"/>
        <w:rPr>
          <w:b/>
          <w:sz w:val="24"/>
          <w:szCs w:val="24"/>
          <w:u w:val="single"/>
        </w:rPr>
      </w:pPr>
    </w:p>
    <w:p w14:paraId="3DFFA948" w14:textId="77777777" w:rsidR="00DC738F" w:rsidRDefault="00DC738F" w:rsidP="00B67456">
      <w:pPr>
        <w:tabs>
          <w:tab w:val="left" w:pos="-284"/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14:paraId="5E2A191E" w14:textId="2D5C0384" w:rsidR="00B67456" w:rsidRPr="002C7D37" w:rsidRDefault="00B67456" w:rsidP="00B67456">
      <w:pPr>
        <w:tabs>
          <w:tab w:val="left" w:pos="-284"/>
          <w:tab w:val="left" w:pos="0"/>
          <w:tab w:val="left" w:pos="567"/>
        </w:tabs>
        <w:jc w:val="both"/>
        <w:rPr>
          <w:bCs/>
          <w:sz w:val="24"/>
          <w:szCs w:val="24"/>
        </w:rPr>
      </w:pPr>
      <w:r w:rsidRPr="002C7D37">
        <w:rPr>
          <w:bCs/>
          <w:sz w:val="24"/>
          <w:szCs w:val="24"/>
        </w:rPr>
        <w:t>1 klausimas.</w:t>
      </w:r>
    </w:p>
    <w:p w14:paraId="2701A768" w14:textId="5B674351" w:rsidR="009515E6" w:rsidRPr="002C7D37" w:rsidRDefault="009515E6" w:rsidP="00B67456">
      <w:pPr>
        <w:tabs>
          <w:tab w:val="left" w:pos="-284"/>
          <w:tab w:val="left" w:pos="0"/>
          <w:tab w:val="left" w:pos="567"/>
        </w:tabs>
        <w:jc w:val="both"/>
        <w:rPr>
          <w:sz w:val="24"/>
          <w:szCs w:val="24"/>
          <w:u w:val="single"/>
        </w:rPr>
      </w:pPr>
      <w:r w:rsidRPr="002C7D37">
        <w:rPr>
          <w:b/>
          <w:sz w:val="24"/>
          <w:szCs w:val="24"/>
        </w:rPr>
        <w:t xml:space="preserve">Techninės specifikacijos punkte Nr. 4.3 </w:t>
      </w:r>
      <w:r w:rsidRPr="002C7D37">
        <w:rPr>
          <w:sz w:val="24"/>
          <w:szCs w:val="24"/>
        </w:rPr>
        <w:t xml:space="preserve">pateikiami reikalavimai endoskopiniam siurbliui ir irigaciniai pompai. Nėra tikslinga pirkti endoskopinį </w:t>
      </w:r>
      <w:r w:rsidR="00BE18DB" w:rsidRPr="002C7D37">
        <w:rPr>
          <w:sz w:val="24"/>
          <w:szCs w:val="24"/>
        </w:rPr>
        <w:t>atliurbėją</w:t>
      </w:r>
      <w:r w:rsidRPr="002C7D37">
        <w:rPr>
          <w:sz w:val="24"/>
          <w:szCs w:val="24"/>
        </w:rPr>
        <w:t xml:space="preserve"> ir irigacinę pompą kaip vieną įrenginį, nes jie atlieka skirtingas funkcijas, turi skirtingus techninius parametrus, ir jų reikalavimai bei saugos standartai nesutampa. Siekiant išvengti skirtingų interpretacijų prašome išskirti įrenginius į atskiras pozicijas, nurodant kiekvienai iš pozicijų atitinkamus reikalavimus. </w:t>
      </w:r>
    </w:p>
    <w:p w14:paraId="34550C92" w14:textId="77777777" w:rsidR="00EB2845" w:rsidRPr="002C7D37" w:rsidRDefault="00EB2845" w:rsidP="00B67456">
      <w:pPr>
        <w:rPr>
          <w:sz w:val="24"/>
          <w:szCs w:val="24"/>
        </w:rPr>
      </w:pPr>
    </w:p>
    <w:p w14:paraId="2B2CEEAD" w14:textId="162C1A0B" w:rsidR="00A52C4E" w:rsidRPr="002C7D37" w:rsidRDefault="00B6745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Atsakymas.</w:t>
      </w:r>
    </w:p>
    <w:p w14:paraId="6073A158" w14:textId="08C5C165" w:rsidR="00CA7F26" w:rsidRPr="002C7D37" w:rsidRDefault="00CA7F2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Techninės specifikacijos 4.3 punkte nurodytas reikalavimas įsigyti endoskopinį siurblį ir irigacinę pompą kaip vieną integruotą įrenginį yra pagrįstas perkančiosios organizacijos poreikia</w:t>
      </w:r>
      <w:r w:rsidR="00120E32" w:rsidRPr="002C7D37">
        <w:rPr>
          <w:sz w:val="24"/>
          <w:szCs w:val="24"/>
        </w:rPr>
        <w:t>is užtikrinti</w:t>
      </w:r>
      <w:r w:rsidRPr="002C7D37">
        <w:rPr>
          <w:sz w:val="24"/>
          <w:szCs w:val="24"/>
        </w:rPr>
        <w:t>:</w:t>
      </w:r>
    </w:p>
    <w:p w14:paraId="1F2B6DD3" w14:textId="46862787" w:rsidR="00CA7F26" w:rsidRPr="002C7D37" w:rsidRDefault="00CA7F2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Efektyvų darbo procesą operacinėje – integruotas sprendimas leidžia sumažinti jungčių skaičių, optimizuoti vietos panaudojimą ir palengvinti personalo darbą.</w:t>
      </w:r>
      <w:r w:rsidR="002C7D37">
        <w:rPr>
          <w:sz w:val="24"/>
          <w:szCs w:val="24"/>
        </w:rPr>
        <w:t xml:space="preserve"> </w:t>
      </w:r>
      <w:r w:rsidRPr="002C7D37">
        <w:rPr>
          <w:sz w:val="24"/>
          <w:szCs w:val="24"/>
        </w:rPr>
        <w:t>Suderinamumą ir saugumą – vieno gamintojo integruotas įrenginys užtikrina, kad komponentai veiks tarpusavyje be papildomų adapterių ar rizikos dėl nesuderinamumo.</w:t>
      </w:r>
      <w:r w:rsidR="002C7D37">
        <w:rPr>
          <w:sz w:val="24"/>
          <w:szCs w:val="24"/>
        </w:rPr>
        <w:t xml:space="preserve"> </w:t>
      </w:r>
      <w:r w:rsidRPr="002C7D37">
        <w:rPr>
          <w:sz w:val="24"/>
          <w:szCs w:val="24"/>
        </w:rPr>
        <w:t>Techninį aptarnavimą ir garantijas – integruotas sprendimas supaprastina garantinių įsipareigojimų vykdymą ir techninį palaikymą.</w:t>
      </w:r>
    </w:p>
    <w:p w14:paraId="2D32B8E4" w14:textId="60210C05" w:rsidR="00CA7F26" w:rsidRPr="002C7D37" w:rsidRDefault="00CA7F2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Be to, rinkoje egzistuoja gamintojai, siūlantys integruotus sprendimus, kurie atitinka tiek siurbimo, tiek irigacijos funkcijas, todėl reikalavimas nėra diskriminuojantis ar ribojantis konkurenciją.</w:t>
      </w:r>
    </w:p>
    <w:p w14:paraId="4AA31CC9" w14:textId="77777777" w:rsidR="00CA7F26" w:rsidRPr="002C7D37" w:rsidRDefault="00CA7F26" w:rsidP="00B67456">
      <w:pPr>
        <w:rPr>
          <w:sz w:val="24"/>
          <w:szCs w:val="24"/>
        </w:rPr>
      </w:pPr>
    </w:p>
    <w:p w14:paraId="7E46FE55" w14:textId="77777777" w:rsidR="00B67456" w:rsidRPr="002C7D37" w:rsidRDefault="00B67456" w:rsidP="00B67456">
      <w:pPr>
        <w:tabs>
          <w:tab w:val="left" w:pos="-284"/>
          <w:tab w:val="left" w:pos="0"/>
          <w:tab w:val="left" w:pos="567"/>
        </w:tabs>
        <w:jc w:val="both"/>
        <w:rPr>
          <w:bCs/>
          <w:sz w:val="24"/>
          <w:szCs w:val="24"/>
        </w:rPr>
      </w:pPr>
      <w:r w:rsidRPr="002C7D37">
        <w:rPr>
          <w:bCs/>
          <w:sz w:val="24"/>
          <w:szCs w:val="24"/>
        </w:rPr>
        <w:t>2 klausimas.</w:t>
      </w:r>
    </w:p>
    <w:p w14:paraId="1E21D78A" w14:textId="49F2AF97" w:rsidR="009515E6" w:rsidRPr="002C7D37" w:rsidRDefault="009515E6" w:rsidP="00B67456">
      <w:pPr>
        <w:tabs>
          <w:tab w:val="left" w:pos="-284"/>
          <w:tab w:val="left" w:pos="0"/>
          <w:tab w:val="left" w:pos="567"/>
        </w:tabs>
        <w:jc w:val="both"/>
        <w:rPr>
          <w:i/>
          <w:sz w:val="24"/>
          <w:szCs w:val="24"/>
          <w:highlight w:val="white"/>
        </w:rPr>
      </w:pPr>
      <w:r w:rsidRPr="002C7D37">
        <w:rPr>
          <w:b/>
          <w:sz w:val="24"/>
          <w:szCs w:val="24"/>
        </w:rPr>
        <w:t xml:space="preserve">Techninės specifikacijos punkte Nr. 1.2.4 </w:t>
      </w:r>
      <w:r w:rsidRPr="002C7D37">
        <w:rPr>
          <w:sz w:val="24"/>
          <w:szCs w:val="24"/>
        </w:rPr>
        <w:t>ske</w:t>
      </w:r>
      <w:r w:rsidRPr="002C7D37">
        <w:rPr>
          <w:sz w:val="24"/>
          <w:szCs w:val="24"/>
          <w:highlight w:val="white"/>
        </w:rPr>
        <w:t xml:space="preserve">lbia: </w:t>
      </w:r>
      <w:r w:rsidRPr="002C7D37">
        <w:rPr>
          <w:i/>
          <w:sz w:val="24"/>
          <w:szCs w:val="24"/>
          <w:highlight w:val="white"/>
        </w:rPr>
        <w:t>,,Automatinis baltos šviesos balansas.”</w:t>
      </w:r>
    </w:p>
    <w:p w14:paraId="13569E7B" w14:textId="77777777" w:rsidR="009515E6" w:rsidRPr="002C7D37" w:rsidRDefault="009515E6" w:rsidP="00B67456">
      <w:pPr>
        <w:tabs>
          <w:tab w:val="left" w:pos="-284"/>
          <w:tab w:val="left" w:pos="0"/>
          <w:tab w:val="left" w:pos="567"/>
        </w:tabs>
        <w:jc w:val="both"/>
        <w:rPr>
          <w:color w:val="000000"/>
          <w:sz w:val="24"/>
          <w:szCs w:val="24"/>
        </w:rPr>
      </w:pPr>
      <w:r w:rsidRPr="002C7D37">
        <w:rPr>
          <w:sz w:val="24"/>
          <w:szCs w:val="24"/>
          <w:highlight w:val="white"/>
        </w:rPr>
        <w:t xml:space="preserve">Šis reikalavimas pritaikytas vienam gamintojui, tik vienas rinkoje esantis gamintojas gali pasiūlyti tokį funkcionalumą. Prašome šalinti konkurenciją ribojantį reikalavimą. </w:t>
      </w:r>
    </w:p>
    <w:p w14:paraId="3B3A667E" w14:textId="77777777" w:rsidR="00DC738F" w:rsidRPr="002C7D37" w:rsidRDefault="00DC738F" w:rsidP="00B67456">
      <w:pPr>
        <w:rPr>
          <w:sz w:val="24"/>
          <w:szCs w:val="24"/>
        </w:rPr>
      </w:pPr>
    </w:p>
    <w:p w14:paraId="443FDEA1" w14:textId="0892A8B8" w:rsidR="00CA7F26" w:rsidRPr="002C7D37" w:rsidRDefault="00DC738F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Atsakymas</w:t>
      </w:r>
    </w:p>
    <w:p w14:paraId="792ED5CF" w14:textId="77777777" w:rsidR="00CA7F26" w:rsidRPr="002C7D37" w:rsidRDefault="00CA7F2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Techninės specifikacijos punkte Nr. 1.2.4 nurodytas reikalavimas „automatinis baltos šviesos balansas“ nėra pritaikytas konkrečiam gamintojui, o atspindi perkančiosios organizacijos poreikį užtikrinti aukštos kokybės vaizdo atkūrimą realiu laiku, nepriklausomai nuo apšvietimo sąlygų.</w:t>
      </w:r>
    </w:p>
    <w:p w14:paraId="3FCCA3F4" w14:textId="1AECEE5B" w:rsidR="00CA7F26" w:rsidRPr="002C7D37" w:rsidRDefault="00CA7F2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Šis funkcionalumas</w:t>
      </w:r>
      <w:r w:rsidR="00120E32" w:rsidRPr="002C7D37">
        <w:rPr>
          <w:sz w:val="24"/>
          <w:szCs w:val="24"/>
        </w:rPr>
        <w:t xml:space="preserve"> y</w:t>
      </w:r>
      <w:r w:rsidRPr="002C7D37">
        <w:rPr>
          <w:sz w:val="24"/>
          <w:szCs w:val="24"/>
        </w:rPr>
        <w:t>ra plačiai paplitęs šiuolaikinėse endoskopinėse vaizdo sistemose, ypač aukštesnės klasės modeliuose.</w:t>
      </w:r>
      <w:r w:rsidR="002C7D37">
        <w:rPr>
          <w:sz w:val="24"/>
          <w:szCs w:val="24"/>
        </w:rPr>
        <w:t xml:space="preserve"> </w:t>
      </w:r>
      <w:r w:rsidRPr="002C7D37">
        <w:rPr>
          <w:sz w:val="24"/>
          <w:szCs w:val="24"/>
        </w:rPr>
        <w:t>Užtikrina spalvų tikslumą, kuris yra kritiškai svarbus diagnostikai ir chirurginėms intervencijoms.</w:t>
      </w:r>
      <w:r w:rsidR="002C7D37">
        <w:rPr>
          <w:sz w:val="24"/>
          <w:szCs w:val="24"/>
        </w:rPr>
        <w:t xml:space="preserve"> </w:t>
      </w:r>
      <w:r w:rsidRPr="002C7D37">
        <w:rPr>
          <w:sz w:val="24"/>
          <w:szCs w:val="24"/>
        </w:rPr>
        <w:t>Leidžia automatizuoti darbo eigą, sumažinant poreikį rankiniam reguliavimui ir klaidų riziką.</w:t>
      </w:r>
    </w:p>
    <w:p w14:paraId="200DE4B7" w14:textId="1C082F64" w:rsidR="00CA7F26" w:rsidRPr="002C7D37" w:rsidRDefault="00CA7F26" w:rsidP="00B67456">
      <w:pPr>
        <w:rPr>
          <w:sz w:val="24"/>
          <w:szCs w:val="24"/>
        </w:rPr>
      </w:pPr>
      <w:r w:rsidRPr="002C7D37">
        <w:rPr>
          <w:sz w:val="24"/>
          <w:szCs w:val="24"/>
        </w:rPr>
        <w:t>Perkančioji organizacija neįtraukė jokių gamintojo pavadinimų ar modelių, o reikalavimas suformuluotas funkciniu principu, vadovaujantis objektyviais kokybės kriterijais.</w:t>
      </w:r>
    </w:p>
    <w:p w14:paraId="5425EC1F" w14:textId="77777777" w:rsidR="00B67456" w:rsidRPr="002C7D37" w:rsidRDefault="00B67456" w:rsidP="00B67456">
      <w:pPr>
        <w:rPr>
          <w:sz w:val="24"/>
          <w:szCs w:val="24"/>
        </w:rPr>
      </w:pPr>
    </w:p>
    <w:p w14:paraId="308D50E7" w14:textId="2287A1B8" w:rsidR="00CA7F26" w:rsidRPr="002C7D37" w:rsidRDefault="003A4844" w:rsidP="00B67456">
      <w:pPr>
        <w:rPr>
          <w:sz w:val="24"/>
          <w:szCs w:val="24"/>
        </w:rPr>
      </w:pPr>
      <w:r>
        <w:rPr>
          <w:sz w:val="24"/>
          <w:szCs w:val="24"/>
        </w:rPr>
        <w:t>Pagarbiai,</w:t>
      </w:r>
    </w:p>
    <w:sectPr w:rsidR="00CA7F26" w:rsidRPr="002C7D37" w:rsidSect="00B67456">
      <w:pgSz w:w="1191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14E"/>
    <w:multiLevelType w:val="hybridMultilevel"/>
    <w:tmpl w:val="B99623A0"/>
    <w:lvl w:ilvl="0" w:tplc="12A6EBD4">
      <w:start w:val="2"/>
      <w:numFmt w:val="decimal"/>
      <w:lvlText w:val="%1."/>
      <w:lvlJc w:val="left"/>
      <w:pPr>
        <w:ind w:left="1997" w:hanging="346"/>
      </w:pPr>
      <w:rPr>
        <w:rFonts w:hint="default"/>
        <w:spacing w:val="0"/>
        <w:w w:val="79"/>
        <w:lang w:val="lt-LT" w:eastAsia="en-US" w:bidi="ar-SA"/>
      </w:rPr>
    </w:lvl>
    <w:lvl w:ilvl="1" w:tplc="B6E046B4">
      <w:numFmt w:val="bullet"/>
      <w:lvlText w:val="•"/>
      <w:lvlJc w:val="left"/>
      <w:pPr>
        <w:ind w:left="2891" w:hanging="346"/>
      </w:pPr>
      <w:rPr>
        <w:rFonts w:hint="default"/>
        <w:lang w:val="lt-LT" w:eastAsia="en-US" w:bidi="ar-SA"/>
      </w:rPr>
    </w:lvl>
    <w:lvl w:ilvl="2" w:tplc="DB8ACFB2">
      <w:numFmt w:val="bullet"/>
      <w:lvlText w:val="•"/>
      <w:lvlJc w:val="left"/>
      <w:pPr>
        <w:ind w:left="3782" w:hanging="346"/>
      </w:pPr>
      <w:rPr>
        <w:rFonts w:hint="default"/>
        <w:lang w:val="lt-LT" w:eastAsia="en-US" w:bidi="ar-SA"/>
      </w:rPr>
    </w:lvl>
    <w:lvl w:ilvl="3" w:tplc="79BA544E">
      <w:numFmt w:val="bullet"/>
      <w:lvlText w:val="•"/>
      <w:lvlJc w:val="left"/>
      <w:pPr>
        <w:ind w:left="4673" w:hanging="346"/>
      </w:pPr>
      <w:rPr>
        <w:rFonts w:hint="default"/>
        <w:lang w:val="lt-LT" w:eastAsia="en-US" w:bidi="ar-SA"/>
      </w:rPr>
    </w:lvl>
    <w:lvl w:ilvl="4" w:tplc="BE8A3DDC">
      <w:numFmt w:val="bullet"/>
      <w:lvlText w:val="•"/>
      <w:lvlJc w:val="left"/>
      <w:pPr>
        <w:ind w:left="5564" w:hanging="346"/>
      </w:pPr>
      <w:rPr>
        <w:rFonts w:hint="default"/>
        <w:lang w:val="lt-LT" w:eastAsia="en-US" w:bidi="ar-SA"/>
      </w:rPr>
    </w:lvl>
    <w:lvl w:ilvl="5" w:tplc="751AC376">
      <w:numFmt w:val="bullet"/>
      <w:lvlText w:val="•"/>
      <w:lvlJc w:val="left"/>
      <w:pPr>
        <w:ind w:left="6455" w:hanging="346"/>
      </w:pPr>
      <w:rPr>
        <w:rFonts w:hint="default"/>
        <w:lang w:val="lt-LT" w:eastAsia="en-US" w:bidi="ar-SA"/>
      </w:rPr>
    </w:lvl>
    <w:lvl w:ilvl="6" w:tplc="27CAC39C">
      <w:numFmt w:val="bullet"/>
      <w:lvlText w:val="•"/>
      <w:lvlJc w:val="left"/>
      <w:pPr>
        <w:ind w:left="7346" w:hanging="346"/>
      </w:pPr>
      <w:rPr>
        <w:rFonts w:hint="default"/>
        <w:lang w:val="lt-LT" w:eastAsia="en-US" w:bidi="ar-SA"/>
      </w:rPr>
    </w:lvl>
    <w:lvl w:ilvl="7" w:tplc="BA32B9F4">
      <w:numFmt w:val="bullet"/>
      <w:lvlText w:val="•"/>
      <w:lvlJc w:val="left"/>
      <w:pPr>
        <w:ind w:left="8237" w:hanging="346"/>
      </w:pPr>
      <w:rPr>
        <w:rFonts w:hint="default"/>
        <w:lang w:val="lt-LT" w:eastAsia="en-US" w:bidi="ar-SA"/>
      </w:rPr>
    </w:lvl>
    <w:lvl w:ilvl="8" w:tplc="7480E728">
      <w:numFmt w:val="bullet"/>
      <w:lvlText w:val="•"/>
      <w:lvlJc w:val="left"/>
      <w:pPr>
        <w:ind w:left="9128" w:hanging="346"/>
      </w:pPr>
      <w:rPr>
        <w:rFonts w:hint="default"/>
        <w:lang w:val="lt-LT" w:eastAsia="en-US" w:bidi="ar-SA"/>
      </w:rPr>
    </w:lvl>
  </w:abstractNum>
  <w:abstractNum w:abstractNumId="1" w15:restartNumberingAfterBreak="0">
    <w:nsid w:val="2E1C24D0"/>
    <w:multiLevelType w:val="multilevel"/>
    <w:tmpl w:val="E8A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319496">
    <w:abstractNumId w:val="0"/>
  </w:num>
  <w:num w:numId="2" w16cid:durableId="196387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23"/>
    <w:rsid w:val="0005260E"/>
    <w:rsid w:val="000945B3"/>
    <w:rsid w:val="00120E32"/>
    <w:rsid w:val="00161DFC"/>
    <w:rsid w:val="001A68E2"/>
    <w:rsid w:val="002C7D37"/>
    <w:rsid w:val="00390CE9"/>
    <w:rsid w:val="003A4844"/>
    <w:rsid w:val="004B48A7"/>
    <w:rsid w:val="004C4CE4"/>
    <w:rsid w:val="0050412B"/>
    <w:rsid w:val="006536B4"/>
    <w:rsid w:val="006A09CB"/>
    <w:rsid w:val="0073271D"/>
    <w:rsid w:val="00786AFE"/>
    <w:rsid w:val="009515E6"/>
    <w:rsid w:val="00982135"/>
    <w:rsid w:val="00A500F6"/>
    <w:rsid w:val="00A52C4E"/>
    <w:rsid w:val="00AB334F"/>
    <w:rsid w:val="00B67456"/>
    <w:rsid w:val="00B74483"/>
    <w:rsid w:val="00BD6373"/>
    <w:rsid w:val="00BE18DB"/>
    <w:rsid w:val="00CA7F26"/>
    <w:rsid w:val="00DA1157"/>
    <w:rsid w:val="00DB2BB4"/>
    <w:rsid w:val="00DC738F"/>
    <w:rsid w:val="00E52577"/>
    <w:rsid w:val="00E7793A"/>
    <w:rsid w:val="00EB2845"/>
    <w:rsid w:val="00ED1D3A"/>
    <w:rsid w:val="00F20D3D"/>
    <w:rsid w:val="00FD345A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E6C0"/>
  <w15:docId w15:val="{AD2510C0-3E02-42D3-A194-EBC8C52E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21"/>
      <w:outlineLvl w:val="0"/>
    </w:pPr>
    <w:rPr>
      <w:b/>
      <w:bCs/>
      <w:sz w:val="78"/>
      <w:szCs w:val="78"/>
    </w:rPr>
  </w:style>
  <w:style w:type="paragraph" w:styleId="Antrat2">
    <w:name w:val="heading 2"/>
    <w:basedOn w:val="prastasis"/>
    <w:uiPriority w:val="9"/>
    <w:unhideWhenUsed/>
    <w:qFormat/>
    <w:pPr>
      <w:spacing w:before="138" w:line="927" w:lineRule="exact"/>
      <w:ind w:left="7547"/>
      <w:outlineLvl w:val="1"/>
    </w:pPr>
    <w:rPr>
      <w:rFonts w:ascii="Calibri" w:eastAsia="Calibri" w:hAnsi="Calibri" w:cs="Calibri"/>
      <w:b/>
      <w:bCs/>
      <w:i/>
      <w:iCs/>
      <w:sz w:val="76"/>
      <w:szCs w:val="76"/>
    </w:rPr>
  </w:style>
  <w:style w:type="paragraph" w:styleId="Antrat3">
    <w:name w:val="heading 3"/>
    <w:basedOn w:val="prastasis"/>
    <w:uiPriority w:val="9"/>
    <w:unhideWhenUsed/>
    <w:qFormat/>
    <w:pPr>
      <w:spacing w:before="143"/>
      <w:ind w:left="148"/>
      <w:outlineLvl w:val="2"/>
    </w:pPr>
    <w:rPr>
      <w:b/>
      <w:bCs/>
      <w:sz w:val="54"/>
      <w:szCs w:val="54"/>
    </w:rPr>
  </w:style>
  <w:style w:type="paragraph" w:styleId="Antrat4">
    <w:name w:val="heading 4"/>
    <w:basedOn w:val="prastasis"/>
    <w:uiPriority w:val="9"/>
    <w:unhideWhenUsed/>
    <w:qFormat/>
    <w:pPr>
      <w:ind w:left="509"/>
      <w:outlineLvl w:val="3"/>
    </w:pPr>
    <w:rPr>
      <w:rFonts w:ascii="Calibri" w:eastAsia="Calibri" w:hAnsi="Calibri" w:cs="Calibri"/>
      <w:b/>
      <w:bCs/>
      <w:sz w:val="25"/>
      <w:szCs w:val="25"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77"/>
      <w:ind w:left="1979" w:hanging="35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EFF7-CAD0-4329-AC0A-59D1A50E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CamScanner 2025-11-05 19.41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Baroniūnienė</dc:creator>
  <cp:lastModifiedBy>Svetlana Aleksandrova</cp:lastModifiedBy>
  <cp:revision>3</cp:revision>
  <dcterms:created xsi:type="dcterms:W3CDTF">2025-11-11T12:32:00Z</dcterms:created>
  <dcterms:modified xsi:type="dcterms:W3CDTF">2025-11-11T12:33:00Z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intsig.com pdf producer</vt:lpwstr>
  </property>
</Properties>
</file>