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0CC77873"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 xml:space="preserve">Pirkimo sąlygų 2 priedas </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503318AD" w14:textId="77777777" w:rsidR="00251811" w:rsidRPr="00F33EC0" w:rsidRDefault="0017222D"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098CDE91"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automobilių nuoma.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131A5851"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7D6DAD">
              <w:rPr>
                <w:rFonts w:ascii="Times New Roman" w:hAnsi="Times New Roman" w:cs="Times New Roman"/>
                <w:sz w:val="22"/>
                <w:szCs w:val="22"/>
              </w:rPr>
              <w:t xml:space="preserve"> </w:t>
            </w:r>
            <w:r w:rsidR="00EC7993">
              <w:rPr>
                <w:rFonts w:ascii="Times New Roman" w:hAnsi="Times New Roman" w:cs="Times New Roman"/>
                <w:sz w:val="22"/>
                <w:szCs w:val="22"/>
              </w:rPr>
              <w:t>(automobilių nuoma).</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0B67D425" w:rsidR="006358B6" w:rsidRDefault="006358B6" w:rsidP="006358B6">
      <w:pPr>
        <w:spacing w:line="240" w:lineRule="auto"/>
        <w:ind w:left="567"/>
        <w:rPr>
          <w:rFonts w:ascii="Times New Roman" w:eastAsia="Arial" w:hAnsi="Times New Roman" w:cs="Times New Roman"/>
          <w:sz w:val="24"/>
          <w:szCs w:val="24"/>
        </w:rPr>
      </w:pPr>
      <w:bookmarkStart w:id="0" w:name="_heading=h.3rdcrjn" w:colFirst="0" w:colLast="0"/>
      <w:bookmarkEnd w:id="0"/>
      <w:r w:rsidRPr="00025E4D">
        <w:rPr>
          <w:rFonts w:ascii="Times New Roman" w:eastAsia="Arial" w:hAnsi="Times New Roman" w:cs="Times New Roman"/>
          <w:sz w:val="24"/>
          <w:szCs w:val="24"/>
        </w:rPr>
        <w:t>1. Tiekėjai turi atitikti šiame priede nustatytus</w:t>
      </w:r>
      <w:r w:rsidR="00D11FBD">
        <w:rPr>
          <w:rFonts w:ascii="Times New Roman" w:eastAsia="Arial" w:hAnsi="Times New Roman" w:cs="Times New Roman"/>
          <w:sz w:val="24"/>
          <w:szCs w:val="24"/>
        </w:rPr>
        <w:t xml:space="preserve"> Žaliuosius </w:t>
      </w:r>
      <w:r w:rsidRPr="00025E4D">
        <w:rPr>
          <w:rFonts w:ascii="Times New Roman" w:eastAsia="Arial" w:hAnsi="Times New Roman" w:cs="Times New Roman"/>
          <w:sz w:val="24"/>
          <w:szCs w:val="24"/>
        </w:rPr>
        <w:t xml:space="preserve">reikalavimus </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16F3C1D" w:rsidR="006358B6" w:rsidRPr="00025E4D" w:rsidRDefault="00D11FBD" w:rsidP="00E15EE4">
            <w:pPr>
              <w:autoSpaceDE w:val="0"/>
              <w:autoSpaceDN w:val="0"/>
              <w:adjustRightInd w:val="0"/>
              <w:rPr>
                <w:b/>
                <w:bCs/>
                <w:color w:val="000000"/>
                <w:sz w:val="24"/>
                <w:szCs w:val="24"/>
              </w:rPr>
            </w:pPr>
            <w:r>
              <w:rPr>
                <w:b/>
                <w:bCs/>
                <w:color w:val="000000"/>
                <w:sz w:val="24"/>
                <w:szCs w:val="24"/>
              </w:rPr>
              <w:t>Pirkimui taikomi žalieji reikalavimai:</w:t>
            </w:r>
          </w:p>
        </w:tc>
      </w:tr>
      <w:tr w:rsidR="006358B6" w:rsidRPr="00B474D9"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E154BD" w:rsidRDefault="006358B6" w:rsidP="00025E4D">
            <w:pPr>
              <w:spacing w:before="60" w:after="60" w:line="240" w:lineRule="auto"/>
              <w:ind w:firstLine="22"/>
              <w:jc w:val="center"/>
              <w:rPr>
                <w:rFonts w:eastAsiaTheme="minorHAnsi"/>
                <w:sz w:val="22"/>
                <w:szCs w:val="22"/>
              </w:rPr>
            </w:pPr>
            <w:r w:rsidRPr="00E154BD">
              <w:rPr>
                <w:rFonts w:eastAsiaTheme="minorHAnsi"/>
                <w:sz w:val="22"/>
                <w:szCs w:val="22"/>
              </w:rPr>
              <w:t>1.1.</w:t>
            </w:r>
          </w:p>
        </w:tc>
        <w:tc>
          <w:tcPr>
            <w:tcW w:w="1593" w:type="pct"/>
            <w:tcBorders>
              <w:top w:val="single" w:sz="4" w:space="0" w:color="000000"/>
              <w:left w:val="single" w:sz="4" w:space="0" w:color="000000"/>
              <w:bottom w:val="single" w:sz="4" w:space="0" w:color="000000"/>
              <w:right w:val="single" w:sz="4" w:space="0" w:color="000000"/>
            </w:tcBorders>
          </w:tcPr>
          <w:p w14:paraId="231412D3" w14:textId="79B2B36F" w:rsidR="006358B6" w:rsidRPr="00E154BD" w:rsidRDefault="006B1F39" w:rsidP="006B1F39">
            <w:pPr>
              <w:widowControl w:val="0"/>
              <w:spacing w:line="240" w:lineRule="auto"/>
              <w:ind w:firstLine="0"/>
              <w:rPr>
                <w:sz w:val="22"/>
                <w:szCs w:val="22"/>
              </w:rPr>
            </w:pPr>
            <w:r>
              <w:rPr>
                <w:sz w:val="22"/>
                <w:szCs w:val="22"/>
              </w:rPr>
              <w:t>Automobilis turi atitikti  „Euro 6“ standartą.</w:t>
            </w:r>
            <w:r w:rsidR="00AE0A6E" w:rsidRPr="00CA61D6">
              <w:rPr>
                <w:sz w:val="22"/>
                <w:szCs w:val="22"/>
              </w:rPr>
              <w:t xml:space="preserve"> </w:t>
            </w:r>
          </w:p>
        </w:tc>
        <w:tc>
          <w:tcPr>
            <w:tcW w:w="1628" w:type="pct"/>
            <w:tcBorders>
              <w:top w:val="single" w:sz="4" w:space="0" w:color="000000"/>
              <w:left w:val="single" w:sz="4" w:space="0" w:color="000000"/>
              <w:bottom w:val="single" w:sz="4" w:space="0" w:color="000000"/>
              <w:right w:val="single" w:sz="4" w:space="0" w:color="000000"/>
            </w:tcBorders>
          </w:tcPr>
          <w:p w14:paraId="343B7F05" w14:textId="22E8F26E" w:rsidR="00AF284E" w:rsidRPr="00E154BD" w:rsidRDefault="00AE0A6E" w:rsidP="00025E4D">
            <w:pPr>
              <w:autoSpaceDE w:val="0"/>
              <w:autoSpaceDN w:val="0"/>
              <w:adjustRightInd w:val="0"/>
              <w:spacing w:line="240" w:lineRule="auto"/>
              <w:ind w:firstLine="0"/>
              <w:rPr>
                <w:rStyle w:val="cf01"/>
              </w:rPr>
            </w:pPr>
            <w:r w:rsidRPr="00E154BD">
              <w:rPr>
                <w:rStyle w:val="cf01"/>
                <w:rFonts w:ascii="Times New Roman" w:hAnsi="Times New Roman" w:cs="Times New Roman"/>
                <w:sz w:val="22"/>
                <w:szCs w:val="22"/>
              </w:rPr>
              <w:t xml:space="preserve">Gamintojo techniniai dokumentai, įrodantys atitiktį nustatytiems reikalavimams. </w:t>
            </w:r>
          </w:p>
          <w:p w14:paraId="20E7F181" w14:textId="77777777" w:rsidR="00AF284E" w:rsidRPr="00E154BD" w:rsidRDefault="00AF284E" w:rsidP="00025E4D">
            <w:pPr>
              <w:autoSpaceDE w:val="0"/>
              <w:autoSpaceDN w:val="0"/>
              <w:adjustRightInd w:val="0"/>
              <w:spacing w:line="240" w:lineRule="auto"/>
              <w:ind w:firstLine="0"/>
              <w:rPr>
                <w:rStyle w:val="cf01"/>
                <w:rFonts w:ascii="Times New Roman" w:hAnsi="Times New Roman" w:cs="Times New Roman"/>
                <w:sz w:val="22"/>
                <w:szCs w:val="22"/>
              </w:rPr>
            </w:pPr>
          </w:p>
          <w:p w14:paraId="0C68094D" w14:textId="77777777" w:rsidR="000362C5" w:rsidRPr="00E154BD" w:rsidRDefault="000362C5" w:rsidP="00025E4D">
            <w:pPr>
              <w:autoSpaceDE w:val="0"/>
              <w:autoSpaceDN w:val="0"/>
              <w:adjustRightInd w:val="0"/>
              <w:spacing w:line="240" w:lineRule="auto"/>
              <w:ind w:firstLine="0"/>
              <w:rPr>
                <w:i/>
                <w:color w:val="000000"/>
                <w:sz w:val="22"/>
                <w:szCs w:val="22"/>
              </w:rPr>
            </w:pPr>
            <w:r w:rsidRPr="00E154BD">
              <w:rPr>
                <w:i/>
                <w:color w:val="000000"/>
                <w:sz w:val="22"/>
                <w:szCs w:val="22"/>
              </w:rPr>
              <w:t>(Pateikiama skaitmeninė kopija).</w:t>
            </w:r>
          </w:p>
          <w:p w14:paraId="7F69DA8C" w14:textId="27FD7363" w:rsidR="00D85A05" w:rsidRPr="00E154BD" w:rsidRDefault="00D85A05" w:rsidP="00025E4D">
            <w:pPr>
              <w:autoSpaceDE w:val="0"/>
              <w:autoSpaceDN w:val="0"/>
              <w:adjustRightInd w:val="0"/>
              <w:spacing w:line="240" w:lineRule="auto"/>
              <w:ind w:firstLine="0"/>
              <w:rPr>
                <w:i/>
                <w:color w:val="000000"/>
                <w:sz w:val="22"/>
                <w:szCs w:val="22"/>
              </w:rPr>
            </w:pPr>
          </w:p>
        </w:tc>
        <w:tc>
          <w:tcPr>
            <w:tcW w:w="1482" w:type="pct"/>
            <w:tcBorders>
              <w:top w:val="single" w:sz="4" w:space="0" w:color="000000"/>
              <w:left w:val="single" w:sz="4" w:space="0" w:color="000000"/>
              <w:bottom w:val="single" w:sz="4" w:space="0" w:color="000000"/>
              <w:right w:val="single" w:sz="4" w:space="0" w:color="000000"/>
            </w:tcBorders>
          </w:tcPr>
          <w:p w14:paraId="55956921" w14:textId="77777777" w:rsidR="006358B6" w:rsidRPr="00E154BD" w:rsidRDefault="006358B6" w:rsidP="00025E4D">
            <w:pPr>
              <w:autoSpaceDE w:val="0"/>
              <w:autoSpaceDN w:val="0"/>
              <w:adjustRightInd w:val="0"/>
              <w:spacing w:line="240" w:lineRule="auto"/>
              <w:ind w:firstLine="0"/>
              <w:rPr>
                <w:color w:val="000000"/>
                <w:sz w:val="22"/>
                <w:szCs w:val="22"/>
              </w:rPr>
            </w:pPr>
            <w:r w:rsidRPr="00E154BD">
              <w:rPr>
                <w:color w:val="000000"/>
                <w:sz w:val="22"/>
                <w:szCs w:val="22"/>
              </w:rPr>
              <w:t>Jeigu Tiekėjas pats atitinka šį reikalavimą</w:t>
            </w:r>
            <w:r w:rsidRPr="00E154BD">
              <w:rPr>
                <w:sz w:val="22"/>
                <w:szCs w:val="22"/>
              </w:rPr>
              <w:t xml:space="preserve">, tačiau pasitelkia Subtiekėjus nurodytiems darbams atlikti,  kuriems </w:t>
            </w:r>
            <w:r w:rsidRPr="00E154BD">
              <w:rPr>
                <w:color w:val="000000"/>
                <w:sz w:val="22"/>
                <w:szCs w:val="22"/>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Pr="00B474D9"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7649EADA"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w:t>
      </w:r>
      <w:r w:rsidR="00391264">
        <w:rPr>
          <w:rFonts w:ascii="Times New Roman" w:eastAsia="Times New Roman" w:hAnsi="Times New Roman" w:cs="Times New Roman"/>
          <w:sz w:val="24"/>
          <w:szCs w:val="24"/>
        </w:rPr>
        <w:t>valifikaciniams reikalavimams (7</w:t>
      </w:r>
      <w:bookmarkStart w:id="1" w:name="_GoBack"/>
      <w:bookmarkEnd w:id="1"/>
      <w:r w:rsidR="00403EA6" w:rsidRPr="003634A6">
        <w:rPr>
          <w:rFonts w:ascii="Times New Roman" w:eastAsia="Times New Roman" w:hAnsi="Times New Roman" w:cs="Times New Roman"/>
          <w:sz w:val="24"/>
          <w:szCs w:val="24"/>
        </w:rPr>
        <w:t xml:space="preserve"> priedas).</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BAB9" w14:textId="77777777" w:rsidR="0017222D" w:rsidRDefault="0017222D" w:rsidP="00251811">
      <w:pPr>
        <w:spacing w:line="240" w:lineRule="auto"/>
      </w:pPr>
      <w:r>
        <w:separator/>
      </w:r>
    </w:p>
  </w:endnote>
  <w:endnote w:type="continuationSeparator" w:id="0">
    <w:p w14:paraId="48D2567A" w14:textId="77777777" w:rsidR="0017222D" w:rsidRDefault="0017222D"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8CC1E" w14:textId="77777777" w:rsidR="0017222D" w:rsidRDefault="0017222D" w:rsidP="00251811">
      <w:pPr>
        <w:spacing w:line="240" w:lineRule="auto"/>
      </w:pPr>
      <w:r>
        <w:separator/>
      </w:r>
    </w:p>
  </w:footnote>
  <w:footnote w:type="continuationSeparator" w:id="0">
    <w:p w14:paraId="1407D44A" w14:textId="77777777" w:rsidR="0017222D" w:rsidRDefault="0017222D"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25E4D"/>
    <w:rsid w:val="000362C5"/>
    <w:rsid w:val="00073DAC"/>
    <w:rsid w:val="00080F8C"/>
    <w:rsid w:val="00106257"/>
    <w:rsid w:val="00162CF4"/>
    <w:rsid w:val="0017222D"/>
    <w:rsid w:val="00210E29"/>
    <w:rsid w:val="00251811"/>
    <w:rsid w:val="00323681"/>
    <w:rsid w:val="003634A6"/>
    <w:rsid w:val="00391264"/>
    <w:rsid w:val="00403EA6"/>
    <w:rsid w:val="00460F2D"/>
    <w:rsid w:val="005F769A"/>
    <w:rsid w:val="00620FA4"/>
    <w:rsid w:val="006358B6"/>
    <w:rsid w:val="00636CB1"/>
    <w:rsid w:val="00685505"/>
    <w:rsid w:val="006B1F39"/>
    <w:rsid w:val="006E7555"/>
    <w:rsid w:val="00735AC5"/>
    <w:rsid w:val="00737A1B"/>
    <w:rsid w:val="007D6DAD"/>
    <w:rsid w:val="0080599F"/>
    <w:rsid w:val="00822745"/>
    <w:rsid w:val="008C53B9"/>
    <w:rsid w:val="00A1533E"/>
    <w:rsid w:val="00AA1C62"/>
    <w:rsid w:val="00AE0A6E"/>
    <w:rsid w:val="00AF284E"/>
    <w:rsid w:val="00B474D9"/>
    <w:rsid w:val="00B641DB"/>
    <w:rsid w:val="00B76512"/>
    <w:rsid w:val="00B940FC"/>
    <w:rsid w:val="00CA61D6"/>
    <w:rsid w:val="00D11FBD"/>
    <w:rsid w:val="00D37D39"/>
    <w:rsid w:val="00D85A05"/>
    <w:rsid w:val="00E154BD"/>
    <w:rsid w:val="00E87474"/>
    <w:rsid w:val="00EC7993"/>
    <w:rsid w:val="00F33EC0"/>
    <w:rsid w:val="00F45D87"/>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3314EF"/>
    <w:rsid w:val="00355938"/>
    <w:rsid w:val="004B33A4"/>
    <w:rsid w:val="00515FFA"/>
    <w:rsid w:val="006F635E"/>
    <w:rsid w:val="007E5084"/>
    <w:rsid w:val="0082053C"/>
    <w:rsid w:val="00891EBE"/>
    <w:rsid w:val="008B4B49"/>
    <w:rsid w:val="00A37534"/>
    <w:rsid w:val="00D8645C"/>
    <w:rsid w:val="00DB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FDD5-AAA8-4759-9965-0DD52EDA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Raminta Kaledinskaite</cp:lastModifiedBy>
  <cp:revision>3</cp:revision>
  <dcterms:created xsi:type="dcterms:W3CDTF">2025-11-10T13:31:00Z</dcterms:created>
  <dcterms:modified xsi:type="dcterms:W3CDTF">2025-11-11T13:52:00Z</dcterms:modified>
</cp:coreProperties>
</file>