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B80" w:rsidRPr="00472B80" w:rsidRDefault="00472B80" w:rsidP="00AF7BE9">
      <w:pPr>
        <w:suppressAutoHyphens w:val="0"/>
        <w:jc w:val="right"/>
        <w:rPr>
          <w:lang w:eastAsia="lt-LT"/>
        </w:rPr>
      </w:pPr>
      <w:r w:rsidRPr="00472B80">
        <w:rPr>
          <w:lang w:eastAsia="lt-LT"/>
        </w:rPr>
        <w:t xml:space="preserve">Priedas Nr. 2 </w:t>
      </w:r>
    </w:p>
    <w:p w:rsidR="00472B80" w:rsidRDefault="00472B80" w:rsidP="00472B80">
      <w:pPr>
        <w:suppressAutoHyphens w:val="0"/>
        <w:jc w:val="center"/>
        <w:rPr>
          <w:b/>
          <w:lang w:eastAsia="lt-LT"/>
        </w:rPr>
      </w:pPr>
    </w:p>
    <w:p w:rsidR="003D7124" w:rsidRDefault="003D7124" w:rsidP="00472B80">
      <w:pPr>
        <w:suppressAutoHyphens w:val="0"/>
        <w:jc w:val="center"/>
        <w:rPr>
          <w:b/>
          <w:lang w:eastAsia="lt-LT"/>
        </w:rPr>
      </w:pPr>
    </w:p>
    <w:p w:rsidR="007130E5" w:rsidRPr="007130E5" w:rsidRDefault="00CE02FC" w:rsidP="007130E5">
      <w:pPr>
        <w:tabs>
          <w:tab w:val="left" w:pos="709"/>
          <w:tab w:val="left" w:pos="851"/>
          <w:tab w:val="left" w:pos="993"/>
        </w:tabs>
        <w:suppressAutoHyphens w:val="0"/>
        <w:jc w:val="center"/>
        <w:rPr>
          <w:b/>
          <w:lang w:eastAsia="lt-LT"/>
        </w:rPr>
      </w:pPr>
      <w:r w:rsidRPr="00CE02FC">
        <w:rPr>
          <w:b/>
          <w:bCs/>
        </w:rPr>
        <w:t>SPECIALIOS PASKIRTIES MOBILAUS TELEFONO</w:t>
      </w:r>
    </w:p>
    <w:p w:rsidR="00472B80" w:rsidRPr="001D1465" w:rsidRDefault="00472B80" w:rsidP="00472B80">
      <w:pPr>
        <w:suppressAutoHyphens w:val="0"/>
        <w:jc w:val="center"/>
        <w:rPr>
          <w:b/>
          <w:bCs/>
          <w:lang w:eastAsia="lt-LT"/>
        </w:rPr>
      </w:pPr>
      <w:r w:rsidRPr="001D1465">
        <w:rPr>
          <w:b/>
          <w:bCs/>
          <w:lang w:eastAsia="lt-LT"/>
        </w:rPr>
        <w:t>Techninė specifikacija</w:t>
      </w:r>
    </w:p>
    <w:p w:rsidR="00472B80" w:rsidRPr="001D1465" w:rsidRDefault="00472B80" w:rsidP="00472B80">
      <w:pPr>
        <w:tabs>
          <w:tab w:val="left" w:pos="5387"/>
        </w:tabs>
        <w:jc w:val="both"/>
        <w:rPr>
          <w:rFonts w:eastAsia="Arial"/>
          <w:b/>
          <w:highlight w:val="yellow"/>
        </w:rPr>
      </w:pPr>
    </w:p>
    <w:tbl>
      <w:tblPr>
        <w:tblW w:w="1034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619"/>
      </w:tblGrid>
      <w:tr w:rsidR="00CE02FC" w:rsidRPr="00CE02FC" w:rsidTr="00CE02FC">
        <w:trPr>
          <w:trHeight w:val="324"/>
        </w:trPr>
        <w:tc>
          <w:tcPr>
            <w:tcW w:w="1730" w:type="dxa"/>
            <w:tcBorders>
              <w:top w:val="single" w:sz="4" w:space="0" w:color="auto"/>
              <w:left w:val="single" w:sz="4" w:space="0" w:color="auto"/>
              <w:bottom w:val="single" w:sz="4" w:space="0" w:color="auto"/>
              <w:right w:val="single" w:sz="4" w:space="0" w:color="auto"/>
            </w:tcBorders>
            <w:noWrap/>
            <w:vAlign w:val="center"/>
            <w:hideMark/>
          </w:tcPr>
          <w:p w:rsidR="00CE02FC" w:rsidRPr="00CE02FC" w:rsidRDefault="00CE02FC" w:rsidP="00CE02FC">
            <w:pPr>
              <w:spacing w:line="276" w:lineRule="auto"/>
              <w:jc w:val="center"/>
              <w:rPr>
                <w:b/>
                <w:bCs/>
              </w:rPr>
            </w:pPr>
            <w:r w:rsidRPr="00CE02FC">
              <w:rPr>
                <w:b/>
                <w:bCs/>
              </w:rPr>
              <w:t>1.</w:t>
            </w:r>
          </w:p>
        </w:tc>
        <w:tc>
          <w:tcPr>
            <w:tcW w:w="8619" w:type="dxa"/>
            <w:tcBorders>
              <w:top w:val="single" w:sz="4" w:space="0" w:color="auto"/>
              <w:left w:val="single" w:sz="4" w:space="0" w:color="auto"/>
              <w:bottom w:val="single" w:sz="4" w:space="0" w:color="auto"/>
              <w:right w:val="single" w:sz="4" w:space="0" w:color="auto"/>
            </w:tcBorders>
            <w:hideMark/>
          </w:tcPr>
          <w:p w:rsidR="00CE02FC" w:rsidRPr="00CE02FC" w:rsidRDefault="00CE02FC" w:rsidP="00CE02FC">
            <w:pPr>
              <w:spacing w:line="276" w:lineRule="auto"/>
              <w:jc w:val="both"/>
              <w:rPr>
                <w:b/>
                <w:bCs/>
              </w:rPr>
            </w:pPr>
            <w:r w:rsidRPr="00CE02FC">
              <w:rPr>
                <w:b/>
                <w:bCs/>
              </w:rPr>
              <w:t>Bendri reikalavimai</w:t>
            </w:r>
          </w:p>
        </w:tc>
      </w:tr>
      <w:tr w:rsidR="00CE02FC" w:rsidRPr="00CE02FC" w:rsidTr="00CE02FC">
        <w:trPr>
          <w:trHeight w:val="324"/>
        </w:trPr>
        <w:tc>
          <w:tcPr>
            <w:tcW w:w="1730" w:type="dxa"/>
            <w:tcBorders>
              <w:top w:val="single" w:sz="4" w:space="0" w:color="auto"/>
              <w:left w:val="single" w:sz="4" w:space="0" w:color="auto"/>
              <w:bottom w:val="single" w:sz="4" w:space="0" w:color="auto"/>
              <w:right w:val="single" w:sz="4" w:space="0" w:color="auto"/>
            </w:tcBorders>
            <w:noWrap/>
            <w:vAlign w:val="center"/>
          </w:tcPr>
          <w:p w:rsidR="00CE02FC" w:rsidRPr="00CE02FC" w:rsidRDefault="00CE02FC" w:rsidP="00CE02FC">
            <w:r w:rsidRPr="00CE02FC">
              <w:t>Paskirtis</w:t>
            </w:r>
          </w:p>
        </w:tc>
        <w:tc>
          <w:tcPr>
            <w:tcW w:w="8619" w:type="dxa"/>
            <w:tcBorders>
              <w:top w:val="single" w:sz="4" w:space="0" w:color="auto"/>
              <w:left w:val="single" w:sz="4" w:space="0" w:color="auto"/>
              <w:bottom w:val="single" w:sz="4" w:space="0" w:color="auto"/>
              <w:right w:val="single" w:sz="4" w:space="0" w:color="auto"/>
            </w:tcBorders>
          </w:tcPr>
          <w:p w:rsidR="00CE02FC" w:rsidRPr="00CE02FC" w:rsidRDefault="00CE02FC" w:rsidP="00CE02FC">
            <w:pPr>
              <w:rPr>
                <w:iCs/>
                <w:color w:val="000000"/>
              </w:rPr>
            </w:pPr>
            <w:r w:rsidRPr="00CE02FC">
              <w:rPr>
                <w:iCs/>
                <w:color w:val="000000"/>
              </w:rPr>
              <w:t>Mobilus telefonas skirtas artimos oro paramos skaitmeniniam valdymui. skaitmeninių duomenų perdavimui.</w:t>
            </w:r>
          </w:p>
          <w:p w:rsidR="00CE02FC" w:rsidRPr="00CE02FC" w:rsidRDefault="00CE02FC" w:rsidP="00CE02FC">
            <w:pPr>
              <w:rPr>
                <w:bCs/>
              </w:rPr>
            </w:pPr>
            <w:r w:rsidRPr="00CE02FC">
              <w:rPr>
                <w:iCs/>
                <w:color w:val="000000"/>
              </w:rPr>
              <w:t>Įrenginyje nebus naudojamas KAS DPT el. pašto sertifikatas ar pan.</w:t>
            </w:r>
            <w:bookmarkStart w:id="0" w:name="_GoBack"/>
            <w:bookmarkEnd w:id="0"/>
          </w:p>
        </w:tc>
      </w:tr>
      <w:tr w:rsidR="00CE02FC" w:rsidRPr="00CE02FC" w:rsidTr="00CE02FC">
        <w:trPr>
          <w:trHeight w:val="324"/>
        </w:trPr>
        <w:tc>
          <w:tcPr>
            <w:tcW w:w="1730" w:type="dxa"/>
            <w:tcBorders>
              <w:top w:val="single" w:sz="4" w:space="0" w:color="auto"/>
              <w:left w:val="single" w:sz="4" w:space="0" w:color="auto"/>
              <w:bottom w:val="single" w:sz="4" w:space="0" w:color="auto"/>
              <w:right w:val="single" w:sz="4" w:space="0" w:color="auto"/>
            </w:tcBorders>
            <w:noWrap/>
            <w:vAlign w:val="center"/>
          </w:tcPr>
          <w:p w:rsidR="00CE02FC" w:rsidRPr="00CE02FC" w:rsidRDefault="00CE02FC" w:rsidP="00CE02FC">
            <w:r w:rsidRPr="00CE02FC">
              <w:t>Privalomieji reikalavimai</w:t>
            </w:r>
          </w:p>
        </w:tc>
        <w:tc>
          <w:tcPr>
            <w:tcW w:w="8619" w:type="dxa"/>
            <w:tcBorders>
              <w:top w:val="single" w:sz="4" w:space="0" w:color="auto"/>
              <w:left w:val="single" w:sz="4" w:space="0" w:color="auto"/>
              <w:bottom w:val="single" w:sz="4" w:space="0" w:color="auto"/>
              <w:right w:val="single" w:sz="4" w:space="0" w:color="auto"/>
            </w:tcBorders>
            <w:vAlign w:val="center"/>
          </w:tcPr>
          <w:p w:rsidR="00CE02FC" w:rsidRPr="00CE02FC" w:rsidRDefault="00CE02FC" w:rsidP="00CE02FC">
            <w:pPr>
              <w:tabs>
                <w:tab w:val="left" w:pos="1134"/>
                <w:tab w:val="left" w:pos="1276"/>
                <w:tab w:val="left" w:pos="1418"/>
                <w:tab w:val="left" w:pos="1560"/>
              </w:tabs>
              <w:jc w:val="both"/>
              <w:rPr>
                <w:rFonts w:eastAsia="Calibri"/>
              </w:rPr>
            </w:pPr>
            <w:r w:rsidRPr="00CE02FC">
              <w:rPr>
                <w:rFonts w:eastAsia="Calibri"/>
              </w:rPr>
              <w:t>V</w:t>
            </w:r>
            <w:r w:rsidRPr="00CE02FC">
              <w:rPr>
                <w:bCs/>
              </w:rPr>
              <w:t xml:space="preserve">isa pateikiama įranga privalo būti nauja ir nenaudota </w:t>
            </w:r>
            <w:r w:rsidRPr="00CE02FC">
              <w:t>(</w:t>
            </w:r>
            <w:r w:rsidRPr="00CE02FC">
              <w:rPr>
                <w:lang w:eastAsia="lt-LT"/>
              </w:rPr>
              <w:t xml:space="preserve">negali būti atnaujinta, restauruota, angl. </w:t>
            </w:r>
            <w:r w:rsidRPr="00CE02FC">
              <w:rPr>
                <w:i/>
                <w:iCs/>
                <w:lang w:eastAsia="lt-LT"/>
              </w:rPr>
              <w:t>refurbished</w:t>
            </w:r>
            <w:r w:rsidRPr="00CE02FC">
              <w:rPr>
                <w:lang w:eastAsia="lt-LT"/>
              </w:rPr>
              <w:t>), nepažeistose gamintojo pakuotėse.</w:t>
            </w:r>
          </w:p>
          <w:p w:rsidR="00CE02FC" w:rsidRPr="00CE02FC" w:rsidRDefault="00CE02FC" w:rsidP="00CE02FC">
            <w:pPr>
              <w:tabs>
                <w:tab w:val="left" w:pos="390"/>
                <w:tab w:val="left" w:pos="1035"/>
                <w:tab w:val="left" w:pos="1276"/>
                <w:tab w:val="left" w:pos="1500"/>
              </w:tabs>
              <w:jc w:val="both"/>
              <w:rPr>
                <w:bCs/>
              </w:rPr>
            </w:pPr>
            <w:r w:rsidRPr="00CE02FC">
              <w:rPr>
                <w:bCs/>
              </w:rPr>
              <w:t xml:space="preserve">Siūlomos įrangos gamintojas turi užtikrinti kokybės vadybos sistemos standartų laikymąsi, tai patvirtinančiais dokumentais. </w:t>
            </w:r>
          </w:p>
          <w:p w:rsidR="00CE02FC" w:rsidRPr="00CE02FC" w:rsidRDefault="00CE02FC" w:rsidP="00CE02FC">
            <w:pPr>
              <w:tabs>
                <w:tab w:val="left" w:pos="1134"/>
                <w:tab w:val="left" w:pos="1276"/>
                <w:tab w:val="left" w:pos="1418"/>
                <w:tab w:val="left" w:pos="1560"/>
              </w:tabs>
              <w:jc w:val="both"/>
              <w:rPr>
                <w:rFonts w:eastAsia="Calibri"/>
              </w:rPr>
            </w:pPr>
            <w:r w:rsidRPr="00CE02FC">
              <w:rPr>
                <w:rFonts w:eastAsia="Calibri"/>
              </w:rPr>
              <w:t>T</w:t>
            </w:r>
            <w:r w:rsidRPr="00CE02FC">
              <w:rPr>
                <w:bCs/>
              </w:rPr>
              <w:t xml:space="preserve">iekėjas turi užtikrinti, kad gamintojas nėra paskelbęs žinios apie siūlomos įrangos gamybos arba tobulinimo nutraukimą (angl. </w:t>
            </w:r>
            <w:r w:rsidRPr="00CE02FC">
              <w:rPr>
                <w:bCs/>
                <w:i/>
              </w:rPr>
              <w:t>end of life time ar Discontinued</w:t>
            </w:r>
            <w:r w:rsidRPr="00CE02FC">
              <w:rPr>
                <w:bCs/>
              </w:rPr>
              <w:t>).</w:t>
            </w:r>
          </w:p>
          <w:p w:rsidR="00CE02FC" w:rsidRPr="00CE02FC" w:rsidRDefault="00CE02FC" w:rsidP="00CE02FC">
            <w:pPr>
              <w:tabs>
                <w:tab w:val="left" w:pos="1134"/>
                <w:tab w:val="left" w:pos="1276"/>
                <w:tab w:val="left" w:pos="1418"/>
                <w:tab w:val="left" w:pos="1560"/>
              </w:tabs>
              <w:jc w:val="both"/>
              <w:rPr>
                <w:rFonts w:eastAsia="Calibri"/>
              </w:rPr>
            </w:pPr>
            <w:r w:rsidRPr="00CE02FC">
              <w:rPr>
                <w:rFonts w:eastAsia="Calibri"/>
              </w:rPr>
              <w:t>Į</w:t>
            </w:r>
            <w:r w:rsidRPr="00CE02FC">
              <w:rPr>
                <w:bCs/>
              </w:rPr>
              <w:t xml:space="preserve">rangos dokumentacija, programinė įranga, užrašai ant įrenginių, jų dalių, tvarkyklių ir dokumentų paieška gamintojo internetinėje svetainėje turi būti lietuvių arba anglų kalba. </w:t>
            </w:r>
          </w:p>
          <w:p w:rsidR="00CE02FC" w:rsidRPr="00CE02FC" w:rsidRDefault="00CE02FC" w:rsidP="00CE02FC">
            <w:pPr>
              <w:tabs>
                <w:tab w:val="left" w:pos="1134"/>
                <w:tab w:val="left" w:pos="1276"/>
                <w:tab w:val="left" w:pos="1418"/>
                <w:tab w:val="left" w:pos="1560"/>
              </w:tabs>
              <w:jc w:val="both"/>
              <w:rPr>
                <w:rFonts w:eastAsia="Calibri"/>
              </w:rPr>
            </w:pPr>
            <w:r w:rsidRPr="00CE02FC">
              <w:rPr>
                <w:rFonts w:eastAsia="Calibri"/>
              </w:rPr>
              <w:t>T</w:t>
            </w:r>
            <w:r w:rsidRPr="00CE02FC">
              <w:rPr>
                <w:bCs/>
              </w:rPr>
              <w:t>iekėjas turi užtikrinti, kad įsigyjamoje įrangoje nebūtų įdiegta jokia papildoma programinė įranga, kuri nėra būtina tokios įrangos funkcionalumui užtikrinti. Paaiškėjus, kad įrangoje yra įdiegta įtartina, šnipinėjimo ar kokia kita kenkimo programinė įranga, bus traktuojama kaip reikalavimų neatitikimas ir sutarties sąlygų nesilaikymas:</w:t>
            </w:r>
          </w:p>
          <w:p w:rsidR="00CE02FC" w:rsidRPr="00CE02FC" w:rsidRDefault="00CE02FC" w:rsidP="00CE02FC">
            <w:pPr>
              <w:tabs>
                <w:tab w:val="left" w:pos="1134"/>
                <w:tab w:val="left" w:pos="1276"/>
                <w:tab w:val="left" w:pos="1418"/>
                <w:tab w:val="left" w:pos="1560"/>
              </w:tabs>
              <w:ind w:left="313" w:hanging="313"/>
              <w:jc w:val="both"/>
              <w:rPr>
                <w:rFonts w:eastAsia="Calibri"/>
              </w:rPr>
            </w:pPr>
            <w:r w:rsidRPr="00CE02FC">
              <w:rPr>
                <w:bCs/>
              </w:rPr>
              <w:t xml:space="preserve">     įranga grąžinama tiekėjui arba keičiama nauja lygiaverte ar geresne, tačiau saugumo reikalavimus atitinkančia įranga;</w:t>
            </w:r>
          </w:p>
          <w:p w:rsidR="00CE02FC" w:rsidRPr="00CE02FC" w:rsidRDefault="00CE02FC" w:rsidP="00CE02FC">
            <w:pPr>
              <w:ind w:left="-113" w:firstLine="113"/>
              <w:rPr>
                <w:iCs/>
                <w:color w:val="000000"/>
              </w:rPr>
            </w:pPr>
            <w:r w:rsidRPr="00CE02FC">
              <w:rPr>
                <w:bCs/>
              </w:rPr>
              <w:t xml:space="preserve">     tiekėjas padengia pirkimo proceso metu pirkėjo patirtą materialinę žalą.</w:t>
            </w:r>
          </w:p>
        </w:tc>
      </w:tr>
      <w:tr w:rsidR="00CE02FC" w:rsidRPr="00CE02FC" w:rsidTr="00CE02FC">
        <w:trPr>
          <w:trHeight w:val="324"/>
        </w:trPr>
        <w:tc>
          <w:tcPr>
            <w:tcW w:w="1730" w:type="dxa"/>
            <w:tcBorders>
              <w:top w:val="single" w:sz="4" w:space="0" w:color="auto"/>
              <w:left w:val="single" w:sz="4" w:space="0" w:color="auto"/>
              <w:bottom w:val="single" w:sz="4" w:space="0" w:color="auto"/>
              <w:right w:val="single" w:sz="4" w:space="0" w:color="auto"/>
            </w:tcBorders>
            <w:noWrap/>
            <w:vAlign w:val="center"/>
            <w:hideMark/>
          </w:tcPr>
          <w:p w:rsidR="00CE02FC" w:rsidRPr="00CE02FC" w:rsidRDefault="00CE02FC" w:rsidP="00CE02FC">
            <w:r w:rsidRPr="00CE02FC">
              <w:t>Mobilaus telefono konstrukcija</w:t>
            </w:r>
          </w:p>
        </w:tc>
        <w:tc>
          <w:tcPr>
            <w:tcW w:w="8619" w:type="dxa"/>
            <w:tcBorders>
              <w:top w:val="single" w:sz="4" w:space="0" w:color="auto"/>
              <w:left w:val="single" w:sz="4" w:space="0" w:color="auto"/>
              <w:bottom w:val="single" w:sz="4" w:space="0" w:color="auto"/>
              <w:right w:val="single" w:sz="4" w:space="0" w:color="auto"/>
            </w:tcBorders>
            <w:vAlign w:val="center"/>
            <w:hideMark/>
          </w:tcPr>
          <w:p w:rsidR="00CE02FC" w:rsidRPr="00CE02FC" w:rsidRDefault="00CE02FC" w:rsidP="00CE02FC">
            <w:pPr>
              <w:rPr>
                <w:iCs/>
                <w:color w:val="000000"/>
              </w:rPr>
            </w:pPr>
            <w:r w:rsidRPr="00CE02FC">
              <w:rPr>
                <w:iCs/>
                <w:color w:val="000000"/>
              </w:rPr>
              <w:t xml:space="preserve">Įrenginys turi būti apsaugotas ne mažesnio nei IP68 standarto lygiu. </w:t>
            </w:r>
          </w:p>
        </w:tc>
      </w:tr>
      <w:tr w:rsidR="00CE02FC" w:rsidRPr="00CE02FC" w:rsidTr="00CE02FC">
        <w:trPr>
          <w:trHeight w:val="324"/>
        </w:trPr>
        <w:tc>
          <w:tcPr>
            <w:tcW w:w="1730" w:type="dxa"/>
            <w:tcBorders>
              <w:top w:val="single" w:sz="4" w:space="0" w:color="auto"/>
              <w:left w:val="single" w:sz="4" w:space="0" w:color="auto"/>
              <w:bottom w:val="single" w:sz="4" w:space="0" w:color="auto"/>
              <w:right w:val="single" w:sz="4" w:space="0" w:color="auto"/>
            </w:tcBorders>
            <w:noWrap/>
            <w:vAlign w:val="center"/>
          </w:tcPr>
          <w:p w:rsidR="00CE02FC" w:rsidRPr="00CE02FC" w:rsidRDefault="00CE02FC" w:rsidP="00CE02FC">
            <w:r w:rsidRPr="00CE02FC">
              <w:t>Mobilaus telefono reikalavimai specifikacijai</w:t>
            </w:r>
          </w:p>
        </w:tc>
        <w:tc>
          <w:tcPr>
            <w:tcW w:w="8619" w:type="dxa"/>
            <w:tcBorders>
              <w:top w:val="single" w:sz="4" w:space="0" w:color="auto"/>
              <w:left w:val="single" w:sz="4" w:space="0" w:color="auto"/>
              <w:bottom w:val="single" w:sz="4" w:space="0" w:color="auto"/>
              <w:right w:val="single" w:sz="4" w:space="0" w:color="auto"/>
            </w:tcBorders>
          </w:tcPr>
          <w:p w:rsidR="00CE02FC" w:rsidRPr="00CE02FC" w:rsidRDefault="00CE02FC" w:rsidP="00CE02FC">
            <w:pPr>
              <w:autoSpaceDN w:val="0"/>
              <w:jc w:val="both"/>
              <w:rPr>
                <w:rFonts w:eastAsia="Calibri"/>
                <w:kern w:val="3"/>
                <w:lang w:eastAsia="en-US"/>
              </w:rPr>
            </w:pPr>
            <w:r w:rsidRPr="00CE02FC">
              <w:rPr>
                <w:rFonts w:eastAsia="Calibri"/>
                <w:kern w:val="3"/>
                <w:lang w:eastAsia="en-US"/>
              </w:rPr>
              <w:t>Ekrano dydis nuo 6,1“ iki 6,3“.</w:t>
            </w:r>
          </w:p>
          <w:p w:rsidR="00CE02FC" w:rsidRPr="00CE02FC" w:rsidRDefault="00CE02FC" w:rsidP="00CE02FC">
            <w:pPr>
              <w:autoSpaceDN w:val="0"/>
              <w:jc w:val="both"/>
              <w:rPr>
                <w:rFonts w:eastAsia="Calibri"/>
                <w:kern w:val="3"/>
                <w:lang w:eastAsia="en-US"/>
              </w:rPr>
            </w:pPr>
            <w:r w:rsidRPr="00CE02FC">
              <w:rPr>
                <w:rFonts w:eastAsia="Calibri"/>
                <w:kern w:val="3"/>
                <w:lang w:eastAsia="en-US"/>
              </w:rPr>
              <w:t>Svoris ne mažesnis kaip 150 g ir ne didesnis nei 170 g.</w:t>
            </w:r>
          </w:p>
          <w:p w:rsidR="00CE02FC" w:rsidRPr="00CE02FC" w:rsidRDefault="00CE02FC" w:rsidP="00CE02FC">
            <w:pPr>
              <w:autoSpaceDN w:val="0"/>
              <w:jc w:val="both"/>
              <w:rPr>
                <w:rFonts w:eastAsia="Calibri"/>
                <w:kern w:val="3"/>
                <w:lang w:eastAsia="en-US"/>
              </w:rPr>
            </w:pPr>
            <w:r w:rsidRPr="00CE02FC">
              <w:rPr>
                <w:rFonts w:eastAsia="Calibri"/>
                <w:kern w:val="3"/>
                <w:lang w:eastAsia="en-US"/>
              </w:rPr>
              <w:t>Baterijos talpa ne mažesnė nei 5000 mAh.</w:t>
            </w:r>
          </w:p>
          <w:p w:rsidR="00CE02FC" w:rsidRPr="00CE02FC" w:rsidRDefault="00CE02FC" w:rsidP="00CE02FC">
            <w:pPr>
              <w:autoSpaceDN w:val="0"/>
              <w:jc w:val="both"/>
              <w:rPr>
                <w:rFonts w:eastAsia="Calibri"/>
                <w:kern w:val="3"/>
                <w:lang w:eastAsia="en-US"/>
              </w:rPr>
            </w:pPr>
            <w:r w:rsidRPr="00CE02FC">
              <w:rPr>
                <w:rFonts w:eastAsia="Calibri"/>
                <w:kern w:val="3"/>
                <w:lang w:eastAsia="en-US"/>
              </w:rPr>
              <w:t>Atminties talpa ne mažesnė nei 256 GB.</w:t>
            </w:r>
          </w:p>
          <w:p w:rsidR="00CE02FC" w:rsidRPr="00CE02FC" w:rsidRDefault="00CE02FC" w:rsidP="00CE02FC">
            <w:pPr>
              <w:autoSpaceDN w:val="0"/>
              <w:jc w:val="both"/>
              <w:rPr>
                <w:rFonts w:eastAsia="Calibri"/>
                <w:kern w:val="3"/>
                <w:lang w:eastAsia="en-US"/>
              </w:rPr>
            </w:pPr>
            <w:r w:rsidRPr="00CE02FC">
              <w:rPr>
                <w:rFonts w:eastAsia="Calibri"/>
                <w:kern w:val="3"/>
                <w:lang w:eastAsia="en-US"/>
              </w:rPr>
              <w:t>Greitojo (25W) ir įkrovimo belaidžio įkrovimo funkcijos.</w:t>
            </w:r>
          </w:p>
          <w:p w:rsidR="00CE02FC" w:rsidRPr="00CE02FC" w:rsidRDefault="00CE02FC" w:rsidP="00CE02FC">
            <w:pPr>
              <w:autoSpaceDN w:val="0"/>
              <w:jc w:val="both"/>
              <w:rPr>
                <w:rFonts w:eastAsia="Calibri"/>
                <w:kern w:val="3"/>
                <w:lang w:eastAsia="en-US"/>
              </w:rPr>
            </w:pPr>
            <w:r w:rsidRPr="00CE02FC">
              <w:rPr>
                <w:rFonts w:eastAsia="Calibri"/>
                <w:kern w:val="3"/>
                <w:lang w:eastAsia="en-US"/>
              </w:rPr>
              <w:t>IP68 standarto apsauga nuo aplinkos veiksnių.</w:t>
            </w:r>
          </w:p>
          <w:p w:rsidR="00CE02FC" w:rsidRPr="00CE02FC" w:rsidRDefault="00CE02FC" w:rsidP="00CE02FC">
            <w:pPr>
              <w:autoSpaceDN w:val="0"/>
              <w:jc w:val="both"/>
              <w:rPr>
                <w:rFonts w:eastAsia="Calibri"/>
                <w:kern w:val="3"/>
                <w:lang w:eastAsia="en-US"/>
              </w:rPr>
            </w:pPr>
            <w:r w:rsidRPr="00CE02FC">
              <w:rPr>
                <w:rFonts w:eastAsia="Calibri"/>
                <w:kern w:val="3"/>
                <w:lang w:eastAsia="en-US"/>
              </w:rPr>
              <w:t>Sertifikuotas pagal CSfC, CC, MDF, PP, DoD APL, STIG, FIPS140-2 saugumo kriterijus.</w:t>
            </w:r>
          </w:p>
          <w:p w:rsidR="00CE02FC" w:rsidRPr="00CE02FC" w:rsidRDefault="00CE02FC" w:rsidP="00CE02FC">
            <w:pPr>
              <w:autoSpaceDN w:val="0"/>
              <w:jc w:val="both"/>
              <w:rPr>
                <w:rFonts w:eastAsia="Calibri"/>
                <w:kern w:val="3"/>
                <w:lang w:eastAsia="en-US"/>
              </w:rPr>
            </w:pPr>
            <w:r w:rsidRPr="00CE02FC">
              <w:rPr>
                <w:rFonts w:eastAsia="Calibri"/>
                <w:kern w:val="3"/>
                <w:lang w:eastAsia="en-US"/>
              </w:rPr>
              <w:t>2 sluoksnių duomenų kodavimo sistema.</w:t>
            </w:r>
          </w:p>
          <w:p w:rsidR="00CE02FC" w:rsidRPr="00CE02FC" w:rsidRDefault="00CE02FC" w:rsidP="00CE02FC">
            <w:pPr>
              <w:autoSpaceDN w:val="0"/>
              <w:jc w:val="both"/>
              <w:rPr>
                <w:rFonts w:eastAsia="Calibri"/>
                <w:kern w:val="3"/>
                <w:lang w:eastAsia="en-US"/>
              </w:rPr>
            </w:pPr>
            <w:r w:rsidRPr="00CE02FC">
              <w:rPr>
                <w:rFonts w:eastAsia="Calibri"/>
                <w:kern w:val="3"/>
                <w:lang w:eastAsia="en-US"/>
              </w:rPr>
              <w:t>GPS geolokacinis imtuvas.</w:t>
            </w:r>
          </w:p>
          <w:p w:rsidR="00CE02FC" w:rsidRPr="00CE02FC" w:rsidRDefault="00CE02FC" w:rsidP="00CE02FC">
            <w:pPr>
              <w:autoSpaceDN w:val="0"/>
              <w:jc w:val="both"/>
              <w:rPr>
                <w:rFonts w:eastAsia="Calibri"/>
                <w:kern w:val="3"/>
                <w:lang w:eastAsia="en-US"/>
              </w:rPr>
            </w:pPr>
            <w:r w:rsidRPr="00CE02FC">
              <w:rPr>
                <w:rFonts w:eastAsia="Calibri"/>
                <w:kern w:val="3"/>
                <w:lang w:eastAsia="en-US"/>
              </w:rPr>
              <w:t>GSM ryšio išjungimo funkcija („Stealth mode“).</w:t>
            </w:r>
          </w:p>
          <w:p w:rsidR="00CE02FC" w:rsidRPr="00CE02FC" w:rsidRDefault="00CE02FC" w:rsidP="00CE02FC">
            <w:pPr>
              <w:autoSpaceDN w:val="0"/>
              <w:jc w:val="both"/>
              <w:rPr>
                <w:rFonts w:eastAsia="Calibri"/>
                <w:kern w:val="3"/>
                <w:lang w:eastAsia="en-US"/>
              </w:rPr>
            </w:pPr>
            <w:r w:rsidRPr="00CE02FC">
              <w:rPr>
                <w:rFonts w:eastAsia="Calibri"/>
                <w:kern w:val="3"/>
                <w:lang w:eastAsia="en-US"/>
              </w:rPr>
              <w:t>Naktinio matymo funkcija.</w:t>
            </w:r>
          </w:p>
          <w:p w:rsidR="00CE02FC" w:rsidRPr="00CE02FC" w:rsidRDefault="00CE02FC" w:rsidP="00CE02FC">
            <w:r w:rsidRPr="00CE02FC">
              <w:t>TE įgalintuvas - Radijo stoties, lazerinio tolimačio, GPS prietaiso prijungimo protokolai.</w:t>
            </w:r>
          </w:p>
          <w:p w:rsidR="00CE02FC" w:rsidRPr="00CE02FC" w:rsidRDefault="00CE02FC" w:rsidP="00CE02FC">
            <w:pPr>
              <w:rPr>
                <w:iCs/>
                <w:color w:val="000000"/>
              </w:rPr>
            </w:pPr>
            <w:r w:rsidRPr="00CE02FC">
              <w:rPr>
                <w:iCs/>
                <w:color w:val="000000"/>
              </w:rPr>
              <w:t>8 branduolių procesorius.</w:t>
            </w:r>
          </w:p>
          <w:p w:rsidR="00CE02FC" w:rsidRPr="00CE02FC" w:rsidRDefault="00CE02FC" w:rsidP="00CE02FC">
            <w:pPr>
              <w:rPr>
                <w:iCs/>
                <w:color w:val="000000"/>
              </w:rPr>
            </w:pPr>
            <w:r w:rsidRPr="00CE02FC">
              <w:rPr>
                <w:iCs/>
                <w:color w:val="000000"/>
              </w:rPr>
              <w:t>Operacinė sistema Android 13</w:t>
            </w:r>
          </w:p>
          <w:p w:rsidR="00CE02FC" w:rsidRPr="00CE02FC" w:rsidRDefault="00CE02FC" w:rsidP="00CE02FC">
            <w:pPr>
              <w:rPr>
                <w:iCs/>
                <w:color w:val="000000"/>
              </w:rPr>
            </w:pPr>
            <w:r w:rsidRPr="00CE02FC">
              <w:rPr>
                <w:iCs/>
                <w:color w:val="000000"/>
              </w:rPr>
              <w:t>Atminties talpa 256 GB.</w:t>
            </w:r>
          </w:p>
          <w:p w:rsidR="00CE02FC" w:rsidRPr="00CE02FC" w:rsidRDefault="00CE02FC" w:rsidP="00CE02FC">
            <w:pPr>
              <w:rPr>
                <w:iCs/>
                <w:color w:val="000000"/>
              </w:rPr>
            </w:pPr>
            <w:r w:rsidRPr="00CE02FC">
              <w:rPr>
                <w:iCs/>
                <w:color w:val="000000"/>
              </w:rPr>
              <w:t>Ryšio moduliai: WiFi 6E, Bluetooth 5.2, 5G, NFC.</w:t>
            </w:r>
          </w:p>
          <w:p w:rsidR="00CE02FC" w:rsidRPr="00CE02FC" w:rsidRDefault="00CE02FC" w:rsidP="00CE02FC">
            <w:pPr>
              <w:rPr>
                <w:iCs/>
                <w:color w:val="000000"/>
              </w:rPr>
            </w:pPr>
            <w:r w:rsidRPr="00CE02FC">
              <w:rPr>
                <w:iCs/>
                <w:color w:val="000000"/>
              </w:rPr>
              <w:t>Geolokacijos imtuvas: GPS.</w:t>
            </w:r>
          </w:p>
          <w:p w:rsidR="00CE02FC" w:rsidRPr="00CE02FC" w:rsidRDefault="00CE02FC" w:rsidP="00CE02FC">
            <w:pPr>
              <w:rPr>
                <w:iCs/>
                <w:color w:val="000000"/>
              </w:rPr>
            </w:pPr>
            <w:r w:rsidRPr="00CE02FC">
              <w:rPr>
                <w:iCs/>
                <w:color w:val="000000"/>
              </w:rPr>
              <w:t>Įkrovimo ir duomenų lizdas Type-C 3.2.</w:t>
            </w:r>
          </w:p>
        </w:tc>
      </w:tr>
      <w:tr w:rsidR="00CE02FC" w:rsidRPr="00CE02FC" w:rsidTr="00CE02FC">
        <w:trPr>
          <w:trHeight w:val="324"/>
        </w:trPr>
        <w:tc>
          <w:tcPr>
            <w:tcW w:w="1730" w:type="dxa"/>
            <w:tcBorders>
              <w:top w:val="single" w:sz="4" w:space="0" w:color="auto"/>
              <w:left w:val="single" w:sz="4" w:space="0" w:color="auto"/>
              <w:bottom w:val="single" w:sz="4" w:space="0" w:color="auto"/>
              <w:right w:val="single" w:sz="4" w:space="0" w:color="auto"/>
            </w:tcBorders>
            <w:noWrap/>
            <w:vAlign w:val="center"/>
          </w:tcPr>
          <w:p w:rsidR="00CE02FC" w:rsidRPr="00CE02FC" w:rsidRDefault="00CE02FC" w:rsidP="00CE02FC">
            <w:pPr>
              <w:rPr>
                <w:iCs/>
                <w:color w:val="000000"/>
              </w:rPr>
            </w:pPr>
            <w:r w:rsidRPr="00CE02FC">
              <w:rPr>
                <w:iCs/>
                <w:color w:val="000000"/>
              </w:rPr>
              <w:t>Komplektacija</w:t>
            </w:r>
          </w:p>
        </w:tc>
        <w:tc>
          <w:tcPr>
            <w:tcW w:w="8619" w:type="dxa"/>
            <w:tcBorders>
              <w:top w:val="single" w:sz="4" w:space="0" w:color="auto"/>
              <w:left w:val="single" w:sz="4" w:space="0" w:color="auto"/>
              <w:bottom w:val="single" w:sz="4" w:space="0" w:color="auto"/>
              <w:right w:val="single" w:sz="4" w:space="0" w:color="auto"/>
            </w:tcBorders>
          </w:tcPr>
          <w:p w:rsidR="00CE02FC" w:rsidRPr="00CE02FC" w:rsidRDefault="00CE02FC" w:rsidP="00CE02FC">
            <w:pPr>
              <w:suppressAutoHyphens w:val="0"/>
              <w:rPr>
                <w:iCs/>
                <w:color w:val="000000"/>
              </w:rPr>
            </w:pPr>
            <w:r w:rsidRPr="00CE02FC">
              <w:rPr>
                <w:color w:val="000000"/>
                <w:shd w:val="clear" w:color="auto" w:fill="FAFAFA"/>
              </w:rPr>
              <w:t>Originali ir standartinė oficialaus gamintojo komplektacija, taikoma Lietuvos Respublikos rinkai</w:t>
            </w:r>
          </w:p>
        </w:tc>
      </w:tr>
      <w:tr w:rsidR="00CE02FC" w:rsidRPr="00CE02FC" w:rsidTr="00CE02FC">
        <w:trPr>
          <w:trHeight w:val="324"/>
        </w:trPr>
        <w:tc>
          <w:tcPr>
            <w:tcW w:w="1730" w:type="dxa"/>
            <w:tcBorders>
              <w:top w:val="single" w:sz="4" w:space="0" w:color="auto"/>
              <w:left w:val="single" w:sz="4" w:space="0" w:color="auto"/>
              <w:bottom w:val="single" w:sz="4" w:space="0" w:color="auto"/>
              <w:right w:val="single" w:sz="4" w:space="0" w:color="auto"/>
            </w:tcBorders>
            <w:noWrap/>
            <w:vAlign w:val="center"/>
          </w:tcPr>
          <w:p w:rsidR="00CE02FC" w:rsidRPr="00CE02FC" w:rsidRDefault="00CE02FC" w:rsidP="00CE02FC">
            <w:r w:rsidRPr="00CE02FC">
              <w:t>Garantija</w:t>
            </w:r>
          </w:p>
        </w:tc>
        <w:tc>
          <w:tcPr>
            <w:tcW w:w="8619" w:type="dxa"/>
            <w:tcBorders>
              <w:top w:val="single" w:sz="4" w:space="0" w:color="auto"/>
              <w:left w:val="single" w:sz="4" w:space="0" w:color="auto"/>
              <w:bottom w:val="single" w:sz="4" w:space="0" w:color="auto"/>
              <w:right w:val="single" w:sz="4" w:space="0" w:color="auto"/>
            </w:tcBorders>
          </w:tcPr>
          <w:p w:rsidR="00CE02FC" w:rsidRPr="00CE02FC" w:rsidRDefault="00CE02FC" w:rsidP="00CE02FC">
            <w:pPr>
              <w:tabs>
                <w:tab w:val="left" w:pos="1134"/>
                <w:tab w:val="left" w:pos="1276"/>
                <w:tab w:val="left" w:pos="1418"/>
                <w:tab w:val="left" w:pos="1560"/>
                <w:tab w:val="left" w:pos="7020"/>
              </w:tabs>
              <w:jc w:val="both"/>
              <w:rPr>
                <w:b/>
                <w:u w:val="single"/>
              </w:rPr>
            </w:pPr>
            <w:r w:rsidRPr="00CE02FC">
              <w:t>Tiekiamai įrangai turi būti suteikta garantija ne trumpesniam laikotarpiui, kaip tas, kurį suteikia įrangos gamintojas, tačiau ne trumpesniam kaip 12 mėn.</w:t>
            </w:r>
          </w:p>
          <w:p w:rsidR="00CE02FC" w:rsidRPr="00CE02FC" w:rsidRDefault="00CE02FC" w:rsidP="00CE02FC">
            <w:pPr>
              <w:tabs>
                <w:tab w:val="left" w:pos="1134"/>
                <w:tab w:val="left" w:pos="1276"/>
                <w:tab w:val="left" w:pos="1418"/>
                <w:tab w:val="left" w:pos="1560"/>
                <w:tab w:val="left" w:pos="7020"/>
              </w:tabs>
              <w:jc w:val="both"/>
            </w:pPr>
            <w:r w:rsidRPr="00CE02FC">
              <w:t>Garantinio remonto trukmė – ne ilgesnė kaip 30 kalendorinių dienų. Jei sugedusios įrangos per šį laikotarpį pataisyti neįmanoma, ji pakeičiama ekvivalentiška nauja.</w:t>
            </w:r>
          </w:p>
          <w:p w:rsidR="00CE02FC" w:rsidRPr="00CE02FC" w:rsidRDefault="00CE02FC" w:rsidP="00CE02FC">
            <w:pPr>
              <w:autoSpaceDN w:val="0"/>
              <w:jc w:val="both"/>
              <w:rPr>
                <w:rFonts w:eastAsia="Calibri"/>
                <w:kern w:val="3"/>
                <w:lang w:eastAsia="en-US"/>
              </w:rPr>
            </w:pPr>
            <w:r w:rsidRPr="00CE02FC">
              <w:t>Garantinis laikotarpis skaičiuojamas nuo priėmimo–perdavimo akto pasirašymo datos.</w:t>
            </w:r>
          </w:p>
        </w:tc>
      </w:tr>
    </w:tbl>
    <w:p w:rsidR="00BE32DE" w:rsidRPr="00436E7C" w:rsidRDefault="00BE32DE" w:rsidP="001B5181">
      <w:pPr>
        <w:pStyle w:val="BodyText21"/>
        <w:tabs>
          <w:tab w:val="num" w:pos="785"/>
          <w:tab w:val="left" w:pos="7020"/>
        </w:tabs>
        <w:suppressAutoHyphens w:val="0"/>
        <w:spacing w:after="160" w:line="259" w:lineRule="auto"/>
        <w:ind w:left="785"/>
      </w:pPr>
    </w:p>
    <w:sectPr w:rsidR="00BE32DE" w:rsidRPr="00436E7C" w:rsidSect="00081E92">
      <w:pgSz w:w="11906" w:h="16838"/>
      <w:pgMar w:top="426"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1A6" w:rsidRDefault="000571A6" w:rsidP="00186928">
      <w:r>
        <w:separator/>
      </w:r>
    </w:p>
  </w:endnote>
  <w:endnote w:type="continuationSeparator" w:id="0">
    <w:p w:rsidR="000571A6" w:rsidRDefault="000571A6" w:rsidP="0018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1A6" w:rsidRDefault="000571A6" w:rsidP="00186928">
      <w:r>
        <w:separator/>
      </w:r>
    </w:p>
  </w:footnote>
  <w:footnote w:type="continuationSeparator" w:id="0">
    <w:p w:rsidR="000571A6" w:rsidRDefault="000571A6" w:rsidP="00186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2118"/>
    <w:multiLevelType w:val="hybridMultilevel"/>
    <w:tmpl w:val="99D8608E"/>
    <w:lvl w:ilvl="0" w:tplc="F4726DD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9261BE9"/>
    <w:multiLevelType w:val="hybridMultilevel"/>
    <w:tmpl w:val="5628A4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CAC0DB4C">
      <w:start w:val="1"/>
      <w:numFmt w:val="upperRoman"/>
      <w:lvlText w:val="%3."/>
      <w:lvlJc w:val="right"/>
      <w:pPr>
        <w:ind w:left="2160" w:hanging="180"/>
      </w:pPr>
      <w:rPr>
        <w:rFonts w:ascii="Times New Roman" w:eastAsiaTheme="minorEastAsia" w:hAnsi="Times New Roman" w:cs="Times New Roman"/>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217C46"/>
    <w:multiLevelType w:val="multilevel"/>
    <w:tmpl w:val="B8F8A40A"/>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534123CB"/>
    <w:multiLevelType w:val="multilevel"/>
    <w:tmpl w:val="DA44E5B4"/>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6" w15:restartNumberingAfterBreak="0">
    <w:nsid w:val="5B966324"/>
    <w:multiLevelType w:val="multilevel"/>
    <w:tmpl w:val="2DF8CA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DD04A22"/>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800AA4"/>
    <w:multiLevelType w:val="hybridMultilevel"/>
    <w:tmpl w:val="40B27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130D92"/>
    <w:multiLevelType w:val="multilevel"/>
    <w:tmpl w:val="D00A84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4"/>
  </w:num>
  <w:num w:numId="3">
    <w:abstractNumId w:val="6"/>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FA"/>
    <w:rsid w:val="00000D4F"/>
    <w:rsid w:val="00013577"/>
    <w:rsid w:val="00013622"/>
    <w:rsid w:val="00053E07"/>
    <w:rsid w:val="000571A6"/>
    <w:rsid w:val="0007293D"/>
    <w:rsid w:val="0007579D"/>
    <w:rsid w:val="00081E92"/>
    <w:rsid w:val="000830B2"/>
    <w:rsid w:val="000925D4"/>
    <w:rsid w:val="000A3E3A"/>
    <w:rsid w:val="000B6244"/>
    <w:rsid w:val="000E432B"/>
    <w:rsid w:val="000E5BF2"/>
    <w:rsid w:val="000E5FF0"/>
    <w:rsid w:val="000F24A8"/>
    <w:rsid w:val="001106D1"/>
    <w:rsid w:val="001515AD"/>
    <w:rsid w:val="00153510"/>
    <w:rsid w:val="00156185"/>
    <w:rsid w:val="00166E7B"/>
    <w:rsid w:val="0017194D"/>
    <w:rsid w:val="00185A57"/>
    <w:rsid w:val="00186928"/>
    <w:rsid w:val="00186C14"/>
    <w:rsid w:val="001A7A7E"/>
    <w:rsid w:val="001B5181"/>
    <w:rsid w:val="001D1465"/>
    <w:rsid w:val="001F2EC0"/>
    <w:rsid w:val="00217550"/>
    <w:rsid w:val="002214FF"/>
    <w:rsid w:val="00225511"/>
    <w:rsid w:val="00233A66"/>
    <w:rsid w:val="0024562D"/>
    <w:rsid w:val="00257A8A"/>
    <w:rsid w:val="00261CB8"/>
    <w:rsid w:val="002D7CCA"/>
    <w:rsid w:val="002E10FE"/>
    <w:rsid w:val="002E3D18"/>
    <w:rsid w:val="002F4D71"/>
    <w:rsid w:val="002F6811"/>
    <w:rsid w:val="00301F6F"/>
    <w:rsid w:val="00311AFA"/>
    <w:rsid w:val="00335F55"/>
    <w:rsid w:val="00344EEC"/>
    <w:rsid w:val="003502D2"/>
    <w:rsid w:val="003518CA"/>
    <w:rsid w:val="00373464"/>
    <w:rsid w:val="00384763"/>
    <w:rsid w:val="00386735"/>
    <w:rsid w:val="00386810"/>
    <w:rsid w:val="00390F1F"/>
    <w:rsid w:val="003B31B9"/>
    <w:rsid w:val="003B4AD6"/>
    <w:rsid w:val="003D3F48"/>
    <w:rsid w:val="003D7124"/>
    <w:rsid w:val="00400642"/>
    <w:rsid w:val="004063C7"/>
    <w:rsid w:val="00411BE3"/>
    <w:rsid w:val="0041449C"/>
    <w:rsid w:val="004153FA"/>
    <w:rsid w:val="0042140E"/>
    <w:rsid w:val="00434DCC"/>
    <w:rsid w:val="00436E7C"/>
    <w:rsid w:val="004446FA"/>
    <w:rsid w:val="004540EB"/>
    <w:rsid w:val="00457533"/>
    <w:rsid w:val="0045781A"/>
    <w:rsid w:val="00466A99"/>
    <w:rsid w:val="00472445"/>
    <w:rsid w:val="00472B80"/>
    <w:rsid w:val="00474F0C"/>
    <w:rsid w:val="004970E1"/>
    <w:rsid w:val="004A767F"/>
    <w:rsid w:val="004C49FC"/>
    <w:rsid w:val="004D05CB"/>
    <w:rsid w:val="004F0A0D"/>
    <w:rsid w:val="00503F1F"/>
    <w:rsid w:val="005104CE"/>
    <w:rsid w:val="0055138B"/>
    <w:rsid w:val="00554017"/>
    <w:rsid w:val="005671CB"/>
    <w:rsid w:val="005726FA"/>
    <w:rsid w:val="00586765"/>
    <w:rsid w:val="005952F8"/>
    <w:rsid w:val="005B2507"/>
    <w:rsid w:val="005D28B2"/>
    <w:rsid w:val="005D60AC"/>
    <w:rsid w:val="005E5932"/>
    <w:rsid w:val="005F0617"/>
    <w:rsid w:val="005F7558"/>
    <w:rsid w:val="0065331E"/>
    <w:rsid w:val="00680F01"/>
    <w:rsid w:val="00696AE0"/>
    <w:rsid w:val="006A3FB7"/>
    <w:rsid w:val="006D020B"/>
    <w:rsid w:val="006F39F0"/>
    <w:rsid w:val="00704A9B"/>
    <w:rsid w:val="0071120A"/>
    <w:rsid w:val="007130E5"/>
    <w:rsid w:val="00713F7E"/>
    <w:rsid w:val="007420F2"/>
    <w:rsid w:val="0079417B"/>
    <w:rsid w:val="00796542"/>
    <w:rsid w:val="007A1C70"/>
    <w:rsid w:val="007B59AA"/>
    <w:rsid w:val="007C18A2"/>
    <w:rsid w:val="00836F00"/>
    <w:rsid w:val="0084622C"/>
    <w:rsid w:val="008509A3"/>
    <w:rsid w:val="00855A41"/>
    <w:rsid w:val="008918A6"/>
    <w:rsid w:val="008A4C12"/>
    <w:rsid w:val="008B2124"/>
    <w:rsid w:val="008C0671"/>
    <w:rsid w:val="008D7501"/>
    <w:rsid w:val="00901EBA"/>
    <w:rsid w:val="00913A8A"/>
    <w:rsid w:val="00920821"/>
    <w:rsid w:val="00937CF2"/>
    <w:rsid w:val="00965614"/>
    <w:rsid w:val="00970F75"/>
    <w:rsid w:val="00976890"/>
    <w:rsid w:val="0097728C"/>
    <w:rsid w:val="009A2413"/>
    <w:rsid w:val="009D2DA3"/>
    <w:rsid w:val="00A0462E"/>
    <w:rsid w:val="00A76747"/>
    <w:rsid w:val="00A83C72"/>
    <w:rsid w:val="00A93F24"/>
    <w:rsid w:val="00AA093F"/>
    <w:rsid w:val="00AB689B"/>
    <w:rsid w:val="00AC6405"/>
    <w:rsid w:val="00AC7D4F"/>
    <w:rsid w:val="00AD1E21"/>
    <w:rsid w:val="00AF7BE9"/>
    <w:rsid w:val="00B21103"/>
    <w:rsid w:val="00B25082"/>
    <w:rsid w:val="00B32395"/>
    <w:rsid w:val="00B4171B"/>
    <w:rsid w:val="00B41A88"/>
    <w:rsid w:val="00B66A32"/>
    <w:rsid w:val="00B7594F"/>
    <w:rsid w:val="00B80915"/>
    <w:rsid w:val="00B94A14"/>
    <w:rsid w:val="00B95B0F"/>
    <w:rsid w:val="00BA7194"/>
    <w:rsid w:val="00BB4BD0"/>
    <w:rsid w:val="00BD5EBB"/>
    <w:rsid w:val="00BE32DE"/>
    <w:rsid w:val="00BF71F7"/>
    <w:rsid w:val="00C058A9"/>
    <w:rsid w:val="00C22EFB"/>
    <w:rsid w:val="00C23366"/>
    <w:rsid w:val="00C5686F"/>
    <w:rsid w:val="00C63830"/>
    <w:rsid w:val="00C66E78"/>
    <w:rsid w:val="00C77082"/>
    <w:rsid w:val="00CB00E0"/>
    <w:rsid w:val="00CB510B"/>
    <w:rsid w:val="00CB5B1F"/>
    <w:rsid w:val="00CC4A32"/>
    <w:rsid w:val="00CC66AF"/>
    <w:rsid w:val="00CE02FC"/>
    <w:rsid w:val="00CF0700"/>
    <w:rsid w:val="00CF1608"/>
    <w:rsid w:val="00D04AC3"/>
    <w:rsid w:val="00D13846"/>
    <w:rsid w:val="00D16410"/>
    <w:rsid w:val="00D24B87"/>
    <w:rsid w:val="00D351FA"/>
    <w:rsid w:val="00D35F05"/>
    <w:rsid w:val="00D616FE"/>
    <w:rsid w:val="00D63A2E"/>
    <w:rsid w:val="00D63A6E"/>
    <w:rsid w:val="00D70844"/>
    <w:rsid w:val="00DA5D98"/>
    <w:rsid w:val="00DC4633"/>
    <w:rsid w:val="00DF3298"/>
    <w:rsid w:val="00E12B9D"/>
    <w:rsid w:val="00E265F5"/>
    <w:rsid w:val="00E442F6"/>
    <w:rsid w:val="00E75C00"/>
    <w:rsid w:val="00E95859"/>
    <w:rsid w:val="00EB4251"/>
    <w:rsid w:val="00ED0B83"/>
    <w:rsid w:val="00F008AA"/>
    <w:rsid w:val="00F14580"/>
    <w:rsid w:val="00F26188"/>
    <w:rsid w:val="00F34190"/>
    <w:rsid w:val="00F60274"/>
    <w:rsid w:val="00F85E81"/>
    <w:rsid w:val="00F962F1"/>
    <w:rsid w:val="00FC0BFC"/>
    <w:rsid w:val="00FD782B"/>
    <w:rsid w:val="00FE4AE4"/>
    <w:rsid w:val="00FE7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1A640"/>
  <w15:docId w15:val="{C5D209FD-625A-4D55-B9BB-39D948AB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6F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26FA"/>
    <w:pPr>
      <w:tabs>
        <w:tab w:val="center" w:pos="4320"/>
        <w:tab w:val="right" w:pos="8640"/>
      </w:tabs>
    </w:pPr>
    <w:rPr>
      <w:rFonts w:ascii="TimesLT" w:hAnsi="TimesLT"/>
      <w:lang w:val="en-US"/>
    </w:rPr>
  </w:style>
  <w:style w:type="character" w:customStyle="1" w:styleId="HeaderChar">
    <w:name w:val="Header Char"/>
    <w:basedOn w:val="DefaultParagraphFont"/>
    <w:link w:val="Header"/>
    <w:rsid w:val="005726FA"/>
    <w:rPr>
      <w:rFonts w:ascii="TimesLT" w:eastAsia="Times New Roman" w:hAnsi="TimesLT" w:cs="Times New Roman"/>
      <w:sz w:val="24"/>
      <w:szCs w:val="24"/>
      <w:lang w:val="en-US" w:eastAsia="ar-SA"/>
    </w:rPr>
  </w:style>
  <w:style w:type="paragraph" w:styleId="ListParagraph">
    <w:name w:val="List Paragraph"/>
    <w:aliases w:val="List Paragraph Red,Bullet EY"/>
    <w:basedOn w:val="Normal"/>
    <w:link w:val="ListParagraphChar"/>
    <w:uiPriority w:val="34"/>
    <w:qFormat/>
    <w:rsid w:val="005726FA"/>
    <w:pPr>
      <w:ind w:left="720"/>
      <w:contextualSpacing/>
    </w:pPr>
  </w:style>
  <w:style w:type="paragraph" w:styleId="BalloonText">
    <w:name w:val="Balloon Text"/>
    <w:basedOn w:val="Normal"/>
    <w:link w:val="BalloonTextChar"/>
    <w:uiPriority w:val="99"/>
    <w:semiHidden/>
    <w:unhideWhenUsed/>
    <w:rsid w:val="00A0462E"/>
    <w:rPr>
      <w:rFonts w:ascii="Tahoma" w:hAnsi="Tahoma" w:cs="Tahoma"/>
      <w:sz w:val="16"/>
      <w:szCs w:val="16"/>
    </w:rPr>
  </w:style>
  <w:style w:type="character" w:customStyle="1" w:styleId="BalloonTextChar">
    <w:name w:val="Balloon Text Char"/>
    <w:basedOn w:val="DefaultParagraphFont"/>
    <w:link w:val="BalloonText"/>
    <w:uiPriority w:val="99"/>
    <w:semiHidden/>
    <w:rsid w:val="00A0462E"/>
    <w:rPr>
      <w:rFonts w:ascii="Tahoma" w:eastAsia="Times New Roman" w:hAnsi="Tahoma" w:cs="Tahoma"/>
      <w:sz w:val="16"/>
      <w:szCs w:val="16"/>
      <w:lang w:eastAsia="ar-SA"/>
    </w:rPr>
  </w:style>
  <w:style w:type="paragraph" w:styleId="EndnoteText">
    <w:name w:val="endnote text"/>
    <w:basedOn w:val="Normal"/>
    <w:link w:val="EndnoteTextChar"/>
    <w:uiPriority w:val="99"/>
    <w:semiHidden/>
    <w:unhideWhenUsed/>
    <w:rsid w:val="00186928"/>
    <w:rPr>
      <w:sz w:val="20"/>
      <w:szCs w:val="20"/>
    </w:rPr>
  </w:style>
  <w:style w:type="character" w:customStyle="1" w:styleId="EndnoteTextChar">
    <w:name w:val="Endnote Text Char"/>
    <w:basedOn w:val="DefaultParagraphFont"/>
    <w:link w:val="EndnoteText"/>
    <w:uiPriority w:val="99"/>
    <w:semiHidden/>
    <w:rsid w:val="00186928"/>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86928"/>
    <w:rPr>
      <w:vertAlign w:val="superscript"/>
    </w:rPr>
  </w:style>
  <w:style w:type="paragraph" w:styleId="BodyText3">
    <w:name w:val="Body Text 3"/>
    <w:basedOn w:val="Normal"/>
    <w:link w:val="BodyText3Char"/>
    <w:semiHidden/>
    <w:unhideWhenUsed/>
    <w:rsid w:val="0045781A"/>
    <w:pPr>
      <w:tabs>
        <w:tab w:val="left" w:pos="6804"/>
      </w:tabs>
      <w:suppressAutoHyphens w:val="0"/>
      <w:overflowPunct w:val="0"/>
      <w:autoSpaceDE w:val="0"/>
      <w:autoSpaceDN w:val="0"/>
      <w:adjustRightInd w:val="0"/>
      <w:spacing w:before="240"/>
    </w:pPr>
    <w:rPr>
      <w:szCs w:val="20"/>
      <w:lang w:eastAsia="en-US"/>
    </w:rPr>
  </w:style>
  <w:style w:type="character" w:customStyle="1" w:styleId="BodyText3Char">
    <w:name w:val="Body Text 3 Char"/>
    <w:basedOn w:val="DefaultParagraphFont"/>
    <w:link w:val="BodyText3"/>
    <w:semiHidden/>
    <w:rsid w:val="0045781A"/>
    <w:rPr>
      <w:rFonts w:ascii="Times New Roman" w:eastAsia="Times New Roman" w:hAnsi="Times New Roman" w:cs="Times New Roman"/>
      <w:sz w:val="24"/>
      <w:szCs w:val="20"/>
    </w:rPr>
  </w:style>
  <w:style w:type="character" w:customStyle="1" w:styleId="ListParagraphChar">
    <w:name w:val="List Paragraph Char"/>
    <w:aliases w:val="List Paragraph Red Char,Bullet EY Char"/>
    <w:link w:val="ListParagraph"/>
    <w:uiPriority w:val="34"/>
    <w:rsid w:val="00472445"/>
    <w:rPr>
      <w:rFonts w:ascii="Times New Roman" w:eastAsia="Times New Roman" w:hAnsi="Times New Roman" w:cs="Times New Roman"/>
      <w:sz w:val="24"/>
      <w:szCs w:val="24"/>
      <w:lang w:eastAsia="ar-SA"/>
    </w:rPr>
  </w:style>
  <w:style w:type="paragraph" w:customStyle="1" w:styleId="BodyText21">
    <w:name w:val="Body Text 21"/>
    <w:basedOn w:val="Normal"/>
    <w:rsid w:val="00D04AC3"/>
    <w:rPr>
      <w:bCs/>
      <w:szCs w:val="20"/>
      <w:lang w:eastAsia="zh-CN"/>
    </w:rPr>
  </w:style>
  <w:style w:type="table" w:customStyle="1" w:styleId="TableGrid1">
    <w:name w:val="Table Grid1"/>
    <w:basedOn w:val="TableNormal"/>
    <w:next w:val="TableGrid"/>
    <w:uiPriority w:val="39"/>
    <w:rsid w:val="00BB4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B4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30995-C275-4877-BD06-8D96D5EDE2D7}">
  <ds:schemaRefs>
    <ds:schemaRef ds:uri="http://schemas.microsoft.com/sharepoint/v3/contenttype/forms"/>
  </ds:schemaRefs>
</ds:datastoreItem>
</file>

<file path=customXml/itemProps2.xml><?xml version="1.0" encoding="utf-8"?>
<ds:datastoreItem xmlns:ds="http://schemas.openxmlformats.org/officeDocument/2006/customXml" ds:itemID="{64DFB18F-58F2-443F-966B-234F1B3AF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E91F48-046A-4636-8988-4DBEC534F5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BB07A1-3BCA-4E98-B773-37A829C2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1860</Words>
  <Characters>1061</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Armantas Rubstaitis</dc:creator>
  <cp:lastModifiedBy>Martynas Poška</cp:lastModifiedBy>
  <cp:revision>16</cp:revision>
  <cp:lastPrinted>2025-10-20T08:27:00Z</cp:lastPrinted>
  <dcterms:created xsi:type="dcterms:W3CDTF">2023-03-14T13:08:00Z</dcterms:created>
  <dcterms:modified xsi:type="dcterms:W3CDTF">2025-11-05T08:14:00Z</dcterms:modified>
</cp:coreProperties>
</file>