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9808" w14:textId="3AC00B90" w:rsidR="005D15B9" w:rsidRDefault="00AC6485" w:rsidP="00202898">
      <w:pPr>
        <w:tabs>
          <w:tab w:val="center" w:pos="4819"/>
          <w:tab w:val="right" w:pos="9638"/>
        </w:tabs>
        <w:spacing w:after="0" w:line="240" w:lineRule="auto"/>
        <w:jc w:val="center"/>
        <w:rPr>
          <w:b/>
        </w:rPr>
      </w:pPr>
      <w:r>
        <w:rPr>
          <w:noProof/>
          <w:lang w:eastAsia="lt-LT"/>
        </w:rPr>
        <w:drawing>
          <wp:inline distT="0" distB="0" distL="0" distR="0" wp14:anchorId="7488626F" wp14:editId="2F353556">
            <wp:extent cx="1609725" cy="657225"/>
            <wp:effectExtent l="0" t="0" r="9525" b="9525"/>
            <wp:docPr id="1584095143"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VI.jpg"/>
                    <pic:cNvPicPr>
                      <a:picLocks noChangeAspect="1" noChangeArrowheads="1"/>
                    </pic:cNvPicPr>
                  </pic:nvPicPr>
                  <pic:blipFill>
                    <a:blip r:embed="rId8">
                      <a:lum bright="8000"/>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p w14:paraId="1A979938" w14:textId="77777777" w:rsidR="005D15B9" w:rsidRDefault="005D15B9" w:rsidP="00202898">
      <w:pPr>
        <w:tabs>
          <w:tab w:val="center" w:pos="4819"/>
          <w:tab w:val="right" w:pos="9638"/>
        </w:tabs>
        <w:spacing w:after="0" w:line="240" w:lineRule="auto"/>
        <w:jc w:val="center"/>
        <w:rPr>
          <w:b/>
        </w:rPr>
      </w:pPr>
    </w:p>
    <w:p w14:paraId="0A860012" w14:textId="77777777" w:rsidR="005D15B9" w:rsidRDefault="005D15B9" w:rsidP="00202898">
      <w:pPr>
        <w:tabs>
          <w:tab w:val="center" w:pos="4819"/>
          <w:tab w:val="right" w:pos="9638"/>
        </w:tabs>
        <w:spacing w:after="0" w:line="240" w:lineRule="auto"/>
        <w:jc w:val="center"/>
        <w:rPr>
          <w:b/>
        </w:rPr>
      </w:pPr>
    </w:p>
    <w:p w14:paraId="7D839A79" w14:textId="3CCA1D4D" w:rsidR="00AC6485" w:rsidRPr="00AC6485" w:rsidRDefault="00AC6485" w:rsidP="00AC6485">
      <w:pPr>
        <w:spacing w:after="0" w:line="240" w:lineRule="auto"/>
        <w:jc w:val="center"/>
        <w:rPr>
          <w:b/>
          <w:caps/>
          <w:sz w:val="28"/>
          <w:szCs w:val="28"/>
        </w:rPr>
      </w:pPr>
      <w:r>
        <w:rPr>
          <w:b/>
          <w:caps/>
          <w:sz w:val="28"/>
          <w:szCs w:val="28"/>
        </w:rPr>
        <w:t>Nacionalinis VĖŽIO INSTITUTAS</w:t>
      </w:r>
    </w:p>
    <w:p w14:paraId="2D4ABC40" w14:textId="77777777" w:rsidR="00AC6485" w:rsidRDefault="00AC6485" w:rsidP="00AC6485">
      <w:pPr>
        <w:spacing w:after="0" w:line="240" w:lineRule="auto"/>
        <w:jc w:val="center"/>
        <w:rPr>
          <w:b/>
          <w:bCs/>
          <w:sz w:val="16"/>
          <w:szCs w:val="16"/>
        </w:rPr>
      </w:pPr>
      <w:r>
        <w:rPr>
          <w:sz w:val="16"/>
          <w:szCs w:val="16"/>
        </w:rPr>
        <w:t>Juridinių asmenų registras, kodas 111959420, Santariškių g. 1, LT-08406 Vilnius, PVM mokėtojo kodas LT119594219</w:t>
      </w:r>
    </w:p>
    <w:p w14:paraId="3337E905" w14:textId="77777777" w:rsidR="00202898" w:rsidRPr="00202898" w:rsidRDefault="00202898" w:rsidP="00AC6485">
      <w:pPr>
        <w:spacing w:after="0" w:line="240" w:lineRule="auto"/>
        <w:rPr>
          <w:i/>
        </w:rPr>
      </w:pPr>
    </w:p>
    <w:p w14:paraId="2688FC99" w14:textId="77777777" w:rsidR="00AC6485" w:rsidRDefault="00AC6485" w:rsidP="00202898">
      <w:pPr>
        <w:spacing w:after="120" w:line="20" w:lineRule="atLeast"/>
        <w:ind w:left="6096"/>
        <w:contextualSpacing/>
        <w:rPr>
          <w:rFonts w:cs="Calibri"/>
          <w:szCs w:val="24"/>
        </w:rPr>
      </w:pPr>
    </w:p>
    <w:p w14:paraId="02F32C4D" w14:textId="30D2EADD"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2C95DF55" w:rsidR="00202898" w:rsidRPr="00202898" w:rsidRDefault="00202898" w:rsidP="00202898">
      <w:pPr>
        <w:tabs>
          <w:tab w:val="left" w:pos="6930"/>
        </w:tabs>
        <w:spacing w:after="0" w:line="240" w:lineRule="auto"/>
        <w:ind w:left="6096" w:right="-1066"/>
        <w:rPr>
          <w:i/>
        </w:rPr>
      </w:pPr>
      <w:r w:rsidRPr="00202898">
        <w:rPr>
          <w:rFonts w:cs="Calibri"/>
          <w:szCs w:val="24"/>
        </w:rPr>
        <w:t>2025-</w:t>
      </w:r>
      <w:r w:rsidR="00D527C8">
        <w:rPr>
          <w:rFonts w:cs="Calibri"/>
          <w:szCs w:val="24"/>
        </w:rPr>
        <w:t>11-10</w:t>
      </w:r>
      <w:r w:rsidRPr="00202898">
        <w:rPr>
          <w:rFonts w:cs="Calibri"/>
          <w:szCs w:val="24"/>
        </w:rPr>
        <w:t xml:space="preserve"> protokolu Nr. V31-</w:t>
      </w:r>
      <w:r w:rsidR="00D527C8">
        <w:rPr>
          <w:rFonts w:cs="Calibri"/>
          <w:szCs w:val="24"/>
        </w:rPr>
        <w:t>28</w:t>
      </w:r>
      <w:r w:rsidRPr="00202898">
        <w:rPr>
          <w:rFonts w:cs="Calibri"/>
          <w:szCs w:val="24"/>
        </w:rPr>
        <w:t xml:space="preserve"> </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3D92C236" w:rsidR="00202898" w:rsidRPr="00202898" w:rsidRDefault="00202898" w:rsidP="00202898">
      <w:pPr>
        <w:spacing w:after="0" w:line="240" w:lineRule="auto"/>
        <w:jc w:val="center"/>
        <w:rPr>
          <w:b/>
          <w:szCs w:val="24"/>
        </w:rPr>
      </w:pPr>
      <w:r w:rsidRPr="00202898">
        <w:rPr>
          <w:b/>
          <w:szCs w:val="24"/>
        </w:rPr>
        <w:t xml:space="preserve">VIEŠOJO PIRKIMO </w:t>
      </w:r>
      <w:r w:rsidR="005D15B9">
        <w:rPr>
          <w:b/>
          <w:szCs w:val="24"/>
        </w:rPr>
        <w:t xml:space="preserve">SUPAPRASTINTO </w:t>
      </w:r>
      <w:r w:rsidRPr="00202898">
        <w:rPr>
          <w:b/>
          <w:szCs w:val="24"/>
        </w:rPr>
        <w:t>ATVIRO KONKURSO </w:t>
      </w:r>
    </w:p>
    <w:p w14:paraId="011BF163" w14:textId="77777777" w:rsidR="00202898" w:rsidRPr="00202898" w:rsidRDefault="00202898" w:rsidP="00202898">
      <w:pPr>
        <w:spacing w:after="0" w:line="240" w:lineRule="auto"/>
        <w:jc w:val="center"/>
        <w:rPr>
          <w:b/>
          <w:szCs w:val="24"/>
        </w:rPr>
      </w:pPr>
    </w:p>
    <w:p w14:paraId="28081BC3" w14:textId="3B8C37A5" w:rsidR="00202898" w:rsidRPr="00202898" w:rsidRDefault="00202898" w:rsidP="00202898">
      <w:pPr>
        <w:spacing w:after="0" w:line="240" w:lineRule="auto"/>
        <w:jc w:val="center"/>
        <w:rPr>
          <w:b/>
          <w:bCs/>
          <w:color w:val="000000"/>
          <w:szCs w:val="24"/>
        </w:rPr>
      </w:pPr>
      <w:r w:rsidRPr="00202898">
        <w:rPr>
          <w:b/>
          <w:bCs/>
          <w:color w:val="000000"/>
          <w:szCs w:val="24"/>
        </w:rPr>
        <w:t>„</w:t>
      </w:r>
      <w:r w:rsidR="00AC6485" w:rsidRPr="00AC6485">
        <w:rPr>
          <w:b/>
          <w:bCs/>
          <w:caps/>
          <w:szCs w:val="24"/>
        </w:rPr>
        <w:t>TĖkmės citometrO PIRKIMAS</w:t>
      </w:r>
      <w:r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26E46E51" w14:textId="06602E68" w:rsidR="00202898" w:rsidRPr="00202898" w:rsidRDefault="00202898" w:rsidP="00202898">
      <w:pPr>
        <w:tabs>
          <w:tab w:val="center" w:pos="4822"/>
          <w:tab w:val="left" w:pos="6298"/>
        </w:tabs>
        <w:spacing w:after="0" w:line="240" w:lineRule="auto"/>
        <w:rPr>
          <w:szCs w:val="24"/>
        </w:rPr>
      </w:pPr>
      <w:r w:rsidRPr="00202898">
        <w:rPr>
          <w:szCs w:val="24"/>
        </w:rPr>
        <w:tab/>
        <w:t>2025-</w:t>
      </w:r>
      <w:r w:rsidR="00AC6485">
        <w:rPr>
          <w:szCs w:val="24"/>
        </w:rPr>
        <w:t>11-10</w:t>
      </w:r>
      <w:r w:rsidRPr="00202898">
        <w:rPr>
          <w:szCs w:val="24"/>
        </w:rPr>
        <w:t xml:space="preserve"> Nr. V30-</w:t>
      </w:r>
      <w:r w:rsidR="00D527C8">
        <w:rPr>
          <w:szCs w:val="24"/>
        </w:rPr>
        <w:t>1</w:t>
      </w:r>
      <w:r w:rsidR="00F43A9C">
        <w:rPr>
          <w:szCs w:val="24"/>
        </w:rPr>
        <w:t>7</w:t>
      </w:r>
    </w:p>
    <w:p w14:paraId="2468E16F" w14:textId="77777777" w:rsidR="00202898" w:rsidRPr="00202898" w:rsidRDefault="00202898" w:rsidP="00202898">
      <w:pPr>
        <w:spacing w:after="0" w:line="240" w:lineRule="auto"/>
        <w:jc w:val="center"/>
        <w:rPr>
          <w:szCs w:val="24"/>
        </w:rPr>
      </w:pPr>
    </w:p>
    <w:p w14:paraId="103466FF" w14:textId="77777777" w:rsidR="00051C24" w:rsidRDefault="00051C24" w:rsidP="00051C24">
      <w:pPr>
        <w:spacing w:after="0" w:line="240" w:lineRule="auto"/>
        <w:jc w:val="center"/>
        <w:rPr>
          <w:szCs w:val="24"/>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52152924" w:rsidR="00FA1349" w:rsidRPr="00A61252" w:rsidRDefault="00FA1349" w:rsidP="000F79DD">
            <w:pPr>
              <w:spacing w:after="0" w:line="240" w:lineRule="auto"/>
              <w:rPr>
                <w:b/>
              </w:rPr>
            </w:pPr>
            <w:r w:rsidRPr="00A46309">
              <w:t>PASIŪLYMŲ GALIOJIMO UŽTIKRINIMAS</w:t>
            </w:r>
            <w:r>
              <w:t>................................................................. 1</w:t>
            </w:r>
            <w:r w:rsidR="00440C92">
              <w:t>3</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77777777"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16</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77777777" w:rsidR="00FA1349" w:rsidRPr="00765E25" w:rsidRDefault="00FA1349" w:rsidP="000F79DD">
            <w:pPr>
              <w:spacing w:after="0" w:line="240" w:lineRule="auto"/>
              <w:rPr>
                <w:bCs/>
              </w:rPr>
            </w:pPr>
            <w:r>
              <w:rPr>
                <w:bCs/>
              </w:rPr>
              <w:t>PRETENZIJŲ IR SKUNDŲ NAGRINĖJIMAS.......</w:t>
            </w:r>
            <w:r w:rsidRPr="00765E25">
              <w:rPr>
                <w:bCs/>
              </w:rPr>
              <w:t>.........................................................</w:t>
            </w:r>
            <w:r>
              <w:rPr>
                <w:bCs/>
              </w:rPr>
              <w:t xml:space="preserve"> 17</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ListParagraph"/>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ListParagraph"/>
        <w:spacing w:after="0" w:line="240" w:lineRule="auto"/>
        <w:ind w:left="360"/>
        <w:rPr>
          <w:b/>
          <w:color w:val="000000" w:themeColor="text1"/>
          <w:sz w:val="22"/>
        </w:rPr>
      </w:pPr>
    </w:p>
    <w:p w14:paraId="15ED3B93" w14:textId="57312E1D" w:rsidR="005D15B9" w:rsidRPr="005D15B9" w:rsidRDefault="005D15B9" w:rsidP="005D15B9">
      <w:pPr>
        <w:spacing w:after="0" w:line="240" w:lineRule="auto"/>
        <w:jc w:val="both"/>
        <w:rPr>
          <w:sz w:val="22"/>
        </w:rPr>
      </w:pPr>
      <w:r w:rsidRPr="005D15B9">
        <w:rPr>
          <w:sz w:val="22"/>
        </w:rPr>
        <w:t xml:space="preserve">1.1. </w:t>
      </w:r>
      <w:r w:rsidR="007F1244" w:rsidRPr="007F1244">
        <w:rPr>
          <w:sz w:val="22"/>
        </w:rPr>
        <w:t>Nacionalinis vėžio institutas, Santariškių g. 1, 08406 Vilnius, kodas 111959420</w:t>
      </w:r>
      <w:r w:rsidR="007F1244" w:rsidRPr="007F1244">
        <w:rPr>
          <w:sz w:val="22"/>
        </w:rPr>
        <w:t xml:space="preserve"> </w:t>
      </w:r>
      <w:r w:rsidRPr="005D15B9">
        <w:rPr>
          <w:sz w:val="22"/>
        </w:rPr>
        <w:t xml:space="preserve">(toliau vadinamas – perkančioji organizacija ir NVC), vykdydamas viešąjį pirkimą (toliau – pirkimas) numato įsigyti prekes, paslaugas arba darbus (pirkimo objekto rūšis nurodyta Specialiųjų pirkimo sąlygų (toliau – SPS) 1 p.). </w:t>
      </w:r>
    </w:p>
    <w:p w14:paraId="49134454" w14:textId="77777777" w:rsidR="005D15B9" w:rsidRPr="005D15B9" w:rsidRDefault="005D15B9" w:rsidP="005D15B9">
      <w:pPr>
        <w:spacing w:after="0" w:line="240" w:lineRule="auto"/>
        <w:jc w:val="both"/>
        <w:rPr>
          <w:sz w:val="22"/>
        </w:rPr>
      </w:pPr>
      <w:r w:rsidRPr="005D15B9">
        <w:rPr>
          <w:sz w:val="22"/>
        </w:rPr>
        <w:t>1.2. Atliekamas pirkimas atviro konkurso būdu, vykdant jį Centrinės viešųjų pirkimų informacinės sistemos (toliau – CVP IS) priemonėmis, vadovaujantis Lietuvos Respublikos viešųjų pirkimų įstatymu (toliau – Viešųjų pirkimų įstatymas),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033120C3" w14:textId="77777777" w:rsidR="005D15B9" w:rsidRPr="005D15B9" w:rsidRDefault="005D15B9" w:rsidP="005D15B9">
      <w:pPr>
        <w:spacing w:after="0" w:line="240" w:lineRule="auto"/>
        <w:jc w:val="both"/>
        <w:rPr>
          <w:sz w:val="22"/>
        </w:rPr>
      </w:pPr>
      <w:r w:rsidRPr="005D15B9">
        <w:rPr>
          <w:sz w:val="22"/>
        </w:rPr>
        <w:t xml:space="preserve">1.3. Pirkimo dokumentuose vartojamos sąvokos atitinka Viešųjų pirkimų įstatyme vartojamas sąvokas. Jeigu yra prieštaravimų ar neatitikimų tarp BPS ar SPS nustatytų sąlygų, taikomos SPS sąlygos. </w:t>
      </w:r>
    </w:p>
    <w:p w14:paraId="0EC28EF1" w14:textId="77777777" w:rsidR="005D15B9" w:rsidRPr="005D15B9" w:rsidRDefault="005D15B9" w:rsidP="005D15B9">
      <w:pPr>
        <w:spacing w:after="0" w:line="240" w:lineRule="auto"/>
        <w:jc w:val="both"/>
        <w:rPr>
          <w:sz w:val="22"/>
        </w:rPr>
      </w:pPr>
      <w:r w:rsidRPr="005D15B9">
        <w:rPr>
          <w:sz w:val="22"/>
        </w:rPr>
        <w:t>1.4. 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58F26C93" w14:textId="77777777" w:rsidR="005D15B9" w:rsidRPr="005D15B9" w:rsidRDefault="005D15B9" w:rsidP="005D15B9">
      <w:pPr>
        <w:spacing w:after="0" w:line="240" w:lineRule="auto"/>
        <w:jc w:val="both"/>
        <w:rPr>
          <w:sz w:val="22"/>
        </w:rPr>
      </w:pPr>
      <w:r w:rsidRPr="005D15B9">
        <w:rPr>
          <w:sz w:val="22"/>
        </w:rPr>
        <w:t>1.5. Tiesioginį ryšį su tiekėjais palaiko perkančiosios organizacijos atstovas nurodytas SPS 4 p.</w:t>
      </w:r>
    </w:p>
    <w:p w14:paraId="2BD1281D" w14:textId="673C16A5" w:rsidR="001D44AC" w:rsidRPr="00751755" w:rsidRDefault="005D15B9" w:rsidP="005D15B9">
      <w:pPr>
        <w:spacing w:after="0" w:line="240" w:lineRule="auto"/>
        <w:jc w:val="both"/>
        <w:rPr>
          <w:sz w:val="22"/>
        </w:rPr>
      </w:pPr>
      <w:r w:rsidRPr="005D15B9">
        <w:rPr>
          <w:sz w:val="22"/>
        </w:rPr>
        <w:t>1.6. Perkančioji organizacija yra pridėtinės vertės mokesčio (toliau – PVM) mokėtoja. PVM mokėtojo kodas LT243645610.</w:t>
      </w:r>
    </w:p>
    <w:p w14:paraId="203C2AB2" w14:textId="77777777" w:rsidR="00051C24" w:rsidRPr="00F27217" w:rsidRDefault="00051C24" w:rsidP="00051C24">
      <w:pPr>
        <w:pStyle w:val="ListParagraph"/>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ListParagraph"/>
        <w:spacing w:after="0" w:line="240" w:lineRule="auto"/>
        <w:ind w:left="360"/>
        <w:rPr>
          <w:b/>
          <w:sz w:val="22"/>
        </w:rPr>
      </w:pPr>
    </w:p>
    <w:p w14:paraId="625A7FAD" w14:textId="77777777" w:rsidR="00051C24" w:rsidRPr="00751755" w:rsidRDefault="00051C24" w:rsidP="00051C24">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44E108B5" w14:textId="77777777" w:rsidR="00051C24" w:rsidRPr="00751755" w:rsidRDefault="00051C24" w:rsidP="00051C24">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817E112" w14:textId="77777777" w:rsidR="00051C24" w:rsidRPr="00751755" w:rsidRDefault="00051C24" w:rsidP="00051C24">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172236CC" w14:textId="77777777" w:rsidR="00531450" w:rsidRPr="00400B4D" w:rsidRDefault="00531450" w:rsidP="00531450">
      <w:pPr>
        <w:spacing w:after="0" w:line="240" w:lineRule="auto"/>
        <w:jc w:val="both"/>
        <w:rPr>
          <w:color w:val="000000" w:themeColor="text1"/>
          <w:sz w:val="22"/>
        </w:rPr>
      </w:pPr>
      <w:r w:rsidRPr="003D33E5">
        <w:rPr>
          <w:color w:val="000000" w:themeColor="text1"/>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w:t>
      </w:r>
      <w:r w:rsidR="00400B4D">
        <w:rPr>
          <w:rFonts w:eastAsia="Times New Roman"/>
          <w:sz w:val="22"/>
          <w:lang w:eastAsia="lt-LT"/>
        </w:rPr>
        <w:t>/ar</w:t>
      </w:r>
      <w:r w:rsidRPr="005A148B">
        <w:rPr>
          <w:rFonts w:eastAsia="Times New Roman"/>
          <w:sz w:val="22"/>
          <w:lang w:eastAsia="lt-LT"/>
        </w:rPr>
        <w:t xml:space="preserve"> anglų kalba. </w:t>
      </w:r>
      <w:r w:rsidR="00400B4D"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169CFFFC" w14:textId="77777777" w:rsidR="00531450" w:rsidRPr="00E55445" w:rsidRDefault="00531450" w:rsidP="00531450">
      <w:pPr>
        <w:spacing w:after="0" w:line="240" w:lineRule="auto"/>
        <w:jc w:val="both"/>
        <w:rPr>
          <w:sz w:val="22"/>
        </w:rPr>
      </w:pPr>
      <w:r>
        <w:rPr>
          <w:sz w:val="22"/>
        </w:rPr>
        <w:t xml:space="preserve">2.5. </w:t>
      </w:r>
      <w:r w:rsidRPr="00F90E8D">
        <w:rPr>
          <w:sz w:val="22"/>
        </w:rPr>
        <w:t xml:space="preserve">Visoms </w:t>
      </w:r>
      <w:r>
        <w:rPr>
          <w:sz w:val="22"/>
        </w:rPr>
        <w:t>pirkimo dokumentuose nurodytoms konkrečiu pavadinimu/tipu/modeliu įvardintoms medžiagoms/prekėms/technologijoms/metodams</w:t>
      </w:r>
      <w:r w:rsidR="000C687C">
        <w:rPr>
          <w:sz w:val="22"/>
        </w:rPr>
        <w:t>/standartams</w:t>
      </w:r>
      <w:r>
        <w:rPr>
          <w:sz w:val="22"/>
        </w:rPr>
        <w:t xml:space="preserve">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w:t>
      </w:r>
      <w:r w:rsidR="004D2CEC">
        <w:rPr>
          <w:sz w:val="22"/>
        </w:rPr>
        <w:t xml:space="preserve"> arba yra geresnių charakteristikų</w:t>
      </w:r>
      <w:r w:rsidRPr="00F90E8D">
        <w:rPr>
          <w:sz w:val="22"/>
        </w:rPr>
        <w:t xml:space="preserve"> ir visiškai atitinka techninėje specifikacijoje keliamus reikalavimus</w:t>
      </w:r>
      <w:r w:rsidR="004D2CEC">
        <w:rPr>
          <w:sz w:val="22"/>
        </w:rPr>
        <w:t xml:space="preserve"> arba yra geresnių charakteristikų</w:t>
      </w:r>
      <w:r w:rsidRPr="00F90E8D">
        <w:rPr>
          <w:sz w:val="22"/>
        </w:rPr>
        <w:t>.</w:t>
      </w:r>
    </w:p>
    <w:p w14:paraId="20153227" w14:textId="77777777" w:rsidR="00531450" w:rsidRPr="00205A80" w:rsidRDefault="00531450" w:rsidP="00531450">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831C035" w14:textId="77777777" w:rsidR="00051C24" w:rsidRPr="00E20B8B" w:rsidRDefault="00051C24" w:rsidP="00051C24">
      <w:pPr>
        <w:spacing w:after="0" w:line="240" w:lineRule="auto"/>
        <w:jc w:val="both"/>
        <w:rPr>
          <w:color w:val="000000" w:themeColor="text1"/>
          <w:sz w:val="16"/>
          <w:szCs w:val="16"/>
        </w:rPr>
      </w:pPr>
    </w:p>
    <w:p w14:paraId="57A79A61" w14:textId="77777777" w:rsidR="00051C24" w:rsidRDefault="00051C24" w:rsidP="00051C24">
      <w:pPr>
        <w:pStyle w:val="ListParagraph"/>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ListParagraph"/>
        <w:tabs>
          <w:tab w:val="left" w:pos="90"/>
          <w:tab w:val="left" w:pos="851"/>
          <w:tab w:val="left" w:pos="5634"/>
        </w:tabs>
        <w:spacing w:before="60" w:after="60"/>
        <w:ind w:left="57"/>
        <w:rPr>
          <w:b/>
          <w:sz w:val="22"/>
        </w:rPr>
      </w:pPr>
    </w:p>
    <w:p w14:paraId="0F2B28E8" w14:textId="77777777" w:rsidR="00FA1349" w:rsidRPr="0086582F" w:rsidRDefault="00FA1349" w:rsidP="00FA1349">
      <w:pPr>
        <w:pStyle w:val="ListParagraph"/>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ListParagraph"/>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ListParagraph"/>
        <w:tabs>
          <w:tab w:val="left" w:pos="90"/>
          <w:tab w:val="left" w:pos="851"/>
          <w:tab w:val="left" w:pos="5634"/>
        </w:tabs>
        <w:spacing w:after="0" w:line="240" w:lineRule="auto"/>
        <w:ind w:left="0"/>
        <w:jc w:val="both"/>
        <w:rPr>
          <w:sz w:val="22"/>
        </w:rPr>
      </w:pPr>
      <w:r w:rsidRPr="00AD64DA">
        <w:rPr>
          <w:rFonts w:eastAsia="Yu Mincho"/>
          <w:sz w:val="22"/>
          <w:lang w:eastAsia="lt-LT"/>
        </w:rPr>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ListParagraph"/>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t>Tiekėjo pašalinimo pagrindai ir jų nebuvimą patvirtinantys dokumentai:</w:t>
      </w:r>
    </w:p>
    <w:p w14:paraId="54637FD8" w14:textId="77777777" w:rsidR="00FA1349" w:rsidRPr="00D018DF" w:rsidRDefault="00FA1349" w:rsidP="00FA1349">
      <w:pPr>
        <w:pStyle w:val="ListParagraph"/>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NoSpacing"/>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NoSpacing"/>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NoSpacing"/>
              <w:rPr>
                <w:rFonts w:ascii="Times New Roman" w:hAnsi="Times New Roman" w:cs="Times New Roman"/>
                <w:b/>
                <w:bCs/>
                <w:sz w:val="22"/>
                <w:szCs w:val="22"/>
                <w:lang w:eastAsia="en-US"/>
              </w:rPr>
            </w:pPr>
          </w:p>
          <w:p w14:paraId="1C53100E"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2444B5C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NoSpacing"/>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NoSpacing"/>
              <w:rPr>
                <w:rFonts w:ascii="Times New Roman" w:eastAsia="Yu Mincho" w:hAnsi="Times New Roman" w:cs="Times New Roman"/>
                <w:sz w:val="22"/>
                <w:szCs w:val="22"/>
                <w:lang w:eastAsia="en-US"/>
              </w:rPr>
            </w:pPr>
          </w:p>
          <w:p w14:paraId="1A605FAA"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A1-A6 punktai</w:t>
            </w:r>
          </w:p>
          <w:p w14:paraId="7E42C7C2" w14:textId="77777777" w:rsidR="00FA1349" w:rsidRPr="00D018DF" w:rsidRDefault="00FA1349" w:rsidP="000F79DD">
            <w:pPr>
              <w:pStyle w:val="NoSpacing"/>
              <w:rPr>
                <w:rFonts w:ascii="Times New Roman" w:eastAsia="Yu Mincho" w:hAnsi="Times New Roman" w:cs="Times New Roman"/>
                <w:sz w:val="22"/>
                <w:szCs w:val="22"/>
                <w:lang w:eastAsia="en-US"/>
              </w:rPr>
            </w:pPr>
          </w:p>
          <w:p w14:paraId="62F656DC"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Lietuvoje įsteigtų subjektų reikalaujama:</w:t>
            </w:r>
          </w:p>
          <w:p w14:paraId="0437EC72"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70767D8B"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NoSpacing"/>
              <w:rPr>
                <w:rFonts w:ascii="Times New Roman" w:hAnsi="Times New Roman" w:cs="Times New Roman"/>
                <w:sz w:val="22"/>
                <w:szCs w:val="22"/>
                <w:lang w:eastAsia="en-US"/>
              </w:rPr>
            </w:pPr>
          </w:p>
          <w:p w14:paraId="1505402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NoSpacing"/>
              <w:rPr>
                <w:rFonts w:ascii="Times New Roman" w:hAnsi="Times New Roman" w:cs="Times New Roman"/>
                <w:sz w:val="22"/>
                <w:szCs w:val="22"/>
              </w:rPr>
            </w:pPr>
          </w:p>
          <w:p w14:paraId="0FE1B36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bookmarkStart w:id="0"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NoSpacing"/>
              <w:rPr>
                <w:rFonts w:ascii="Times New Roman" w:hAnsi="Times New Roman" w:cs="Times New Roman"/>
                <w:b/>
                <w:bCs/>
                <w:sz w:val="22"/>
                <w:szCs w:val="22"/>
                <w:lang w:eastAsia="en-US"/>
              </w:rPr>
            </w:pPr>
          </w:p>
          <w:p w14:paraId="5413889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D018DF" w:rsidRDefault="00FA1349" w:rsidP="000F79DD">
            <w:pPr>
              <w:pStyle w:val="NoSpacing"/>
              <w:rPr>
                <w:rFonts w:ascii="Times New Roman" w:hAnsi="Times New Roman" w:cs="Times New Roman"/>
                <w:bCs/>
                <w:sz w:val="22"/>
                <w:szCs w:val="22"/>
                <w:lang w:eastAsia="en-US"/>
              </w:rPr>
            </w:pPr>
          </w:p>
          <w:p w14:paraId="32919C6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NoSpacing"/>
              <w:rPr>
                <w:rFonts w:ascii="Times New Roman" w:eastAsia="Arial" w:hAnsi="Times New Roman" w:cs="Times New Roman"/>
                <w:sz w:val="22"/>
                <w:szCs w:val="22"/>
              </w:rPr>
            </w:pPr>
          </w:p>
          <w:p w14:paraId="5E1B7CB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NoSpacing"/>
              <w:rPr>
                <w:rFonts w:ascii="Times New Roman" w:hAnsi="Times New Roman" w:cs="Times New Roman"/>
                <w:sz w:val="22"/>
                <w:szCs w:val="22"/>
              </w:rPr>
            </w:pPr>
          </w:p>
          <w:p w14:paraId="378A0BD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NoSpacing"/>
              <w:rPr>
                <w:rFonts w:ascii="Times New Roman" w:eastAsia="Yu Mincho" w:hAnsi="Times New Roman" w:cs="Times New Roman"/>
                <w:sz w:val="22"/>
                <w:szCs w:val="22"/>
              </w:rPr>
            </w:pPr>
          </w:p>
          <w:p w14:paraId="7063239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18DF">
                <w:rPr>
                  <w:rStyle w:val="Hyperlink"/>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NoSpacing"/>
              <w:rPr>
                <w:rFonts w:ascii="Times New Roman" w:hAnsi="Times New Roman" w:cs="Times New Roman"/>
                <w:b/>
                <w:bCs/>
                <w:sz w:val="22"/>
                <w:szCs w:val="22"/>
              </w:rPr>
            </w:pPr>
          </w:p>
          <w:p w14:paraId="396F4F8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NoSpacing"/>
              <w:rPr>
                <w:rFonts w:ascii="Times New Roman" w:hAnsi="Times New Roman" w:cs="Times New Roman"/>
                <w:b/>
                <w:bCs/>
                <w:sz w:val="22"/>
                <w:szCs w:val="22"/>
              </w:rPr>
            </w:pPr>
          </w:p>
          <w:p w14:paraId="38E5A78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NoSpacing"/>
              <w:rPr>
                <w:rFonts w:ascii="Times New Roman" w:hAnsi="Times New Roman" w:cs="Times New Roman"/>
                <w:b/>
                <w:bCs/>
                <w:sz w:val="22"/>
                <w:szCs w:val="22"/>
              </w:rPr>
            </w:pPr>
          </w:p>
          <w:p w14:paraId="3C8A8B3E"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 xml:space="preserve">Iš ne Lietuvoje įsteigtų subjektų </w:t>
            </w:r>
            <w:r w:rsidRPr="00D018DF">
              <w:rPr>
                <w:rFonts w:ascii="Times New Roman" w:hAnsi="Times New Roman" w:cs="Times New Roman"/>
                <w:sz w:val="22"/>
                <w:szCs w:val="22"/>
                <w:lang w:eastAsia="en-US"/>
              </w:rPr>
              <w:lastRenderedPageBreak/>
              <w:t>reikalaujama:</w:t>
            </w:r>
          </w:p>
          <w:p w14:paraId="2A0C8CBC"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kompetentingos institucijos dokumento</w:t>
            </w:r>
            <w:r w:rsidRPr="00D018DF">
              <w:rPr>
                <w:rStyle w:val="FootnoteReference"/>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NoSpacing"/>
              <w:rPr>
                <w:rFonts w:ascii="Times New Roman" w:hAnsi="Times New Roman" w:cs="Times New Roman"/>
                <w:b/>
                <w:bCs/>
                <w:sz w:val="22"/>
                <w:szCs w:val="22"/>
              </w:rPr>
            </w:pPr>
          </w:p>
          <w:p w14:paraId="4AAE8EEA" w14:textId="64ABE22C"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w:t>
            </w:r>
            <w:r w:rsidR="005D15B9">
              <w:rPr>
                <w:rFonts w:ascii="Times New Roman" w:hAnsi="Times New Roman" w:cs="Times New Roman"/>
                <w:sz w:val="22"/>
                <w:szCs w:val="22"/>
              </w:rPr>
              <w:t>8</w:t>
            </w:r>
            <w:r w:rsidRPr="00D018DF">
              <w:rPr>
                <w:rFonts w:ascii="Times New Roman" w:hAnsi="Times New Roman" w:cs="Times New Roman"/>
                <w:sz w:val="22"/>
                <w:szCs w:val="22"/>
              </w:rPr>
              <w:t xml:space="preserve">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NoSpacing"/>
              <w:rPr>
                <w:rFonts w:ascii="Times New Roman" w:eastAsia="Yu Mincho" w:hAnsi="Times New Roman" w:cs="Times New Roman"/>
                <w:sz w:val="22"/>
                <w:szCs w:val="22"/>
              </w:rPr>
            </w:pPr>
          </w:p>
          <w:p w14:paraId="29BD198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NoSpacing"/>
              <w:rPr>
                <w:rFonts w:ascii="Times New Roman" w:eastAsia="Yu Mincho" w:hAnsi="Times New Roman" w:cs="Times New Roman"/>
                <w:sz w:val="22"/>
                <w:szCs w:val="22"/>
              </w:rPr>
            </w:pPr>
          </w:p>
          <w:p w14:paraId="0918BA54"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NoSpacing"/>
              <w:rPr>
                <w:rFonts w:ascii="Times New Roman" w:hAnsi="Times New Roman" w:cs="Times New Roman"/>
                <w:bCs/>
                <w:iCs/>
                <w:sz w:val="22"/>
                <w:szCs w:val="22"/>
                <w:lang w:eastAsia="en-US"/>
              </w:rPr>
            </w:pPr>
          </w:p>
          <w:p w14:paraId="58D3D68F"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NoSpacing"/>
              <w:rPr>
                <w:rFonts w:ascii="Times New Roman" w:eastAsia="Yu Mincho" w:hAnsi="Times New Roman" w:cs="Times New Roman"/>
                <w:sz w:val="22"/>
                <w:szCs w:val="22"/>
              </w:rPr>
            </w:pPr>
          </w:p>
          <w:p w14:paraId="33AC251E"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D018DF">
              <w:rPr>
                <w:rFonts w:ascii="Times New Roman" w:hAnsi="Times New Roman" w:cs="Times New Roman"/>
                <w:sz w:val="22"/>
                <w:szCs w:val="22"/>
              </w:rPr>
              <w:lastRenderedPageBreak/>
              <w:t xml:space="preserve">dėl pateiktos melagingos informacijos negali pateikti patvirtinančių dokumentų, reikalaujamų pagal VPĮ 50 straipsnį. </w:t>
            </w:r>
          </w:p>
          <w:p w14:paraId="39C9131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NoSpacing"/>
              <w:rPr>
                <w:rFonts w:ascii="Times New Roman" w:eastAsia="Yu Mincho" w:hAnsi="Times New Roman" w:cs="Times New Roman"/>
                <w:sz w:val="22"/>
                <w:szCs w:val="22"/>
              </w:rPr>
            </w:pPr>
          </w:p>
          <w:p w14:paraId="2D28FA1B"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NoSpacing"/>
              <w:rPr>
                <w:rFonts w:ascii="Times New Roman" w:hAnsi="Times New Roman" w:cs="Times New Roman"/>
                <w:bCs/>
                <w:iCs/>
                <w:sz w:val="22"/>
                <w:szCs w:val="22"/>
                <w:lang w:eastAsia="en-US"/>
              </w:rPr>
            </w:pPr>
          </w:p>
          <w:p w14:paraId="39E2430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w:t>
            </w:r>
            <w:r w:rsidRPr="00D018DF">
              <w:rPr>
                <w:rFonts w:ascii="Times New Roman" w:hAnsi="Times New Roman" w:cs="Times New Roman"/>
                <w:bCs/>
                <w:sz w:val="22"/>
                <w:szCs w:val="22"/>
              </w:rPr>
              <w:lastRenderedPageBreak/>
              <w:t xml:space="preserve">procedūros šiame punkte nurodytu pašalinimo pagrindu, be kita ko, gali būti atsižvelgiama į pagal VPĮ 52 straipsnį skelbiamą informaciją: </w:t>
            </w:r>
          </w:p>
          <w:p w14:paraId="38316B0F" w14:textId="77777777" w:rsidR="00FA1349" w:rsidRPr="00D018DF" w:rsidRDefault="00FA1349" w:rsidP="000F79DD">
            <w:pPr>
              <w:pStyle w:val="NoSpacing"/>
              <w:rPr>
                <w:rFonts w:ascii="Times New Roman" w:hAnsi="Times New Roman" w:cs="Times New Roman"/>
                <w:b/>
                <w:bCs/>
                <w:sz w:val="22"/>
                <w:szCs w:val="22"/>
              </w:rPr>
            </w:pPr>
          </w:p>
          <w:p w14:paraId="5AE4F54A" w14:textId="77777777" w:rsidR="00FA1349" w:rsidRPr="00D018DF" w:rsidRDefault="00FA1349" w:rsidP="000F79DD">
            <w:pPr>
              <w:pStyle w:val="NoSpacing"/>
              <w:rPr>
                <w:rFonts w:ascii="Times New Roman" w:hAnsi="Times New Roman" w:cs="Times New Roman"/>
                <w:sz w:val="22"/>
                <w:szCs w:val="22"/>
                <w:u w:val="single"/>
              </w:rPr>
            </w:pPr>
            <w:hyperlink r:id="rId10">
              <w:r w:rsidRPr="00D018DF">
                <w:rPr>
                  <w:rStyle w:val="Hyperlink"/>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NoSpacing"/>
              <w:rPr>
                <w:rFonts w:ascii="Times New Roman" w:eastAsia="Yu Mincho" w:hAnsi="Times New Roman" w:cs="Times New Roman"/>
                <w:sz w:val="22"/>
                <w:szCs w:val="22"/>
              </w:rPr>
            </w:pPr>
          </w:p>
          <w:p w14:paraId="3BE45C8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5AD8DCB"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018DF">
              <w:rPr>
                <w:sz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NoSpacing"/>
              <w:rPr>
                <w:rFonts w:ascii="Times New Roman" w:eastAsia="Yu Mincho" w:hAnsi="Times New Roman" w:cs="Times New Roman"/>
                <w:sz w:val="22"/>
                <w:szCs w:val="22"/>
              </w:rPr>
            </w:pPr>
          </w:p>
          <w:p w14:paraId="7555CBC8"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4292373"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NoSpacing"/>
              <w:rPr>
                <w:rFonts w:ascii="Times New Roman" w:hAnsi="Times New Roman" w:cs="Times New Roman"/>
                <w:bCs/>
                <w:iCs/>
                <w:sz w:val="22"/>
                <w:szCs w:val="22"/>
                <w:lang w:eastAsia="en-US"/>
              </w:rPr>
            </w:pPr>
          </w:p>
          <w:p w14:paraId="25956D95"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w:t>
            </w:r>
            <w:r w:rsidRPr="00D018DF">
              <w:rPr>
                <w:rFonts w:ascii="Times New Roman" w:hAnsi="Times New Roman" w:cs="Times New Roman"/>
                <w:bCs/>
                <w:sz w:val="22"/>
                <w:szCs w:val="22"/>
              </w:rPr>
              <w:lastRenderedPageBreak/>
              <w:t xml:space="preserve">informaciją: </w:t>
            </w:r>
          </w:p>
          <w:p w14:paraId="7099AF96" w14:textId="77777777" w:rsidR="00FA1349" w:rsidRPr="00D018DF" w:rsidRDefault="00FA1349" w:rsidP="000F79DD">
            <w:pPr>
              <w:pStyle w:val="NoSpacing"/>
              <w:rPr>
                <w:rFonts w:ascii="Times New Roman" w:hAnsi="Times New Roman" w:cs="Times New Roman"/>
                <w:sz w:val="22"/>
                <w:szCs w:val="22"/>
              </w:rPr>
            </w:pPr>
          </w:p>
          <w:p w14:paraId="52F2121D" w14:textId="77777777" w:rsidR="00FA1349" w:rsidRPr="00D018DF" w:rsidRDefault="00FA1349" w:rsidP="000F79DD">
            <w:pPr>
              <w:pStyle w:val="NoSpacing"/>
              <w:rPr>
                <w:rStyle w:val="Hyperlink"/>
                <w:rFonts w:ascii="Times New Roman" w:hAnsi="Times New Roman" w:cs="Times New Roman"/>
                <w:sz w:val="22"/>
                <w:szCs w:val="22"/>
              </w:rPr>
            </w:pPr>
            <w:hyperlink r:id="rId11" w:history="1">
              <w:r w:rsidRPr="00D018DF">
                <w:rPr>
                  <w:rStyle w:val="Hyperlink"/>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NoSpacing"/>
              <w:rPr>
                <w:rFonts w:ascii="Times New Roman" w:hAnsi="Times New Roman" w:cs="Times New Roman"/>
                <w:sz w:val="22"/>
                <w:szCs w:val="22"/>
              </w:rPr>
            </w:pPr>
          </w:p>
          <w:p w14:paraId="460BDEEC" w14:textId="77777777" w:rsidR="00FA1349" w:rsidRPr="00D018DF" w:rsidRDefault="00FA1349" w:rsidP="000F79DD">
            <w:pPr>
              <w:pStyle w:val="NoSpacing"/>
              <w:rPr>
                <w:rFonts w:ascii="Times New Roman" w:hAnsi="Times New Roman" w:cs="Times New Roman"/>
                <w:sz w:val="22"/>
                <w:szCs w:val="22"/>
              </w:rPr>
            </w:pPr>
            <w:hyperlink r:id="rId12" w:history="1">
              <w:r w:rsidRPr="00D018DF">
                <w:rPr>
                  <w:rStyle w:val="Hyperlink"/>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NoSpacing"/>
              <w:rPr>
                <w:rFonts w:ascii="Times New Roman" w:hAnsi="Times New Roman" w:cs="Times New Roman"/>
                <w:bCs/>
                <w:sz w:val="22"/>
                <w:szCs w:val="22"/>
              </w:rPr>
            </w:pPr>
          </w:p>
          <w:p w14:paraId="085E5E33"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NoSpacing"/>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NoSpacing"/>
              <w:rPr>
                <w:rFonts w:ascii="Times New Roman" w:eastAsia="Yu Mincho" w:hAnsi="Times New Roman" w:cs="Times New Roman"/>
                <w:sz w:val="22"/>
                <w:szCs w:val="22"/>
              </w:rPr>
            </w:pPr>
          </w:p>
          <w:p w14:paraId="79DB13CE"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NoSpacing"/>
              <w:rPr>
                <w:rFonts w:ascii="Times New Roman" w:hAnsi="Times New Roman" w:cs="Times New Roman"/>
                <w:sz w:val="22"/>
                <w:szCs w:val="22"/>
                <w:lang w:eastAsia="en-US"/>
              </w:rPr>
            </w:pPr>
          </w:p>
          <w:p w14:paraId="7FFF9A1C"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3" w:history="1">
              <w:r w:rsidRPr="00D018DF">
                <w:rPr>
                  <w:rStyle w:val="Hyperlink"/>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NoSpacing"/>
              <w:jc w:val="both"/>
              <w:rPr>
                <w:rFonts w:ascii="Times New Roman" w:hAnsi="Times New Roman" w:cs="Times New Roman"/>
                <w:sz w:val="22"/>
                <w:szCs w:val="22"/>
                <w:lang w:eastAsia="en-US"/>
              </w:rPr>
            </w:pPr>
            <w:hyperlink r:id="rId14" w:history="1">
              <w:r w:rsidRPr="00D018DF">
                <w:rPr>
                  <w:rStyle w:val="Hyperlink"/>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NoSpacing"/>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NoSpacing"/>
              <w:rPr>
                <w:rFonts w:ascii="Times New Roman" w:eastAsia="Yu Mincho" w:hAnsi="Times New Roman" w:cs="Times New Roman"/>
                <w:sz w:val="22"/>
                <w:szCs w:val="22"/>
              </w:rPr>
            </w:pPr>
          </w:p>
          <w:p w14:paraId="05F050C2"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NoSpacing"/>
              <w:rPr>
                <w:rFonts w:ascii="Times New Roman" w:hAnsi="Times New Roman" w:cs="Times New Roman"/>
                <w:b/>
                <w:bCs/>
                <w:iCs/>
                <w:sz w:val="22"/>
                <w:szCs w:val="22"/>
                <w:lang w:eastAsia="en-US"/>
              </w:rPr>
            </w:pPr>
          </w:p>
          <w:p w14:paraId="7362A7B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NoSpacing"/>
              <w:rPr>
                <w:rFonts w:ascii="Times New Roman" w:hAnsi="Times New Roman" w:cs="Times New Roman"/>
                <w:sz w:val="22"/>
                <w:szCs w:val="22"/>
              </w:rPr>
            </w:pPr>
          </w:p>
          <w:p w14:paraId="0BF85811" w14:textId="77777777" w:rsidR="00FA1349" w:rsidRPr="00D018DF" w:rsidRDefault="00FA1349" w:rsidP="000F79DD">
            <w:pPr>
              <w:pStyle w:val="NoSpacing"/>
              <w:rPr>
                <w:rFonts w:ascii="Times New Roman" w:hAnsi="Times New Roman" w:cs="Times New Roman"/>
                <w:b/>
                <w:bCs/>
                <w:sz w:val="22"/>
                <w:szCs w:val="22"/>
              </w:rPr>
            </w:pPr>
            <w:hyperlink r:id="rId15">
              <w:r w:rsidRPr="00D018DF">
                <w:rPr>
                  <w:rStyle w:val="Hyperlink"/>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NoSpacing"/>
              <w:rPr>
                <w:rFonts w:ascii="Times New Roman" w:eastAsia="Yu Mincho" w:hAnsi="Times New Roman" w:cs="Times New Roman"/>
                <w:sz w:val="22"/>
                <w:szCs w:val="22"/>
              </w:rPr>
            </w:pPr>
          </w:p>
          <w:p w14:paraId="4BADE75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NoSpacing"/>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6" w:history="1">
              <w:r w:rsidRPr="00D018DF">
                <w:rPr>
                  <w:rStyle w:val="Hyperlink"/>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NoSpacing"/>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NoSpacing"/>
              <w:rPr>
                <w:rFonts w:ascii="Times New Roman" w:eastAsia="Yu Mincho" w:hAnsi="Times New Roman" w:cs="Times New Roman"/>
                <w:b/>
                <w:bCs/>
                <w:sz w:val="22"/>
                <w:szCs w:val="22"/>
              </w:rPr>
            </w:pPr>
          </w:p>
          <w:p w14:paraId="7C8FE6E2" w14:textId="4A947478" w:rsidR="00440C92" w:rsidRPr="00D018DF"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NoSpacing"/>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ListParagraph"/>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ListParagraph"/>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ListParagraph"/>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(kvazisubtiekėjams (t. y. asmenims, kuriuos tiekėjas planuoja įdarbinti laimėjimo atveju), taip pat subtiekėjams, kurių kvalifikacija tiekėjas nesiremia, netaikomas reikalavimas pateikti atskirą EBVPD);</w:t>
      </w:r>
    </w:p>
    <w:p w14:paraId="4AD8398D"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ListParagraph"/>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ListParagraph"/>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lastRenderedPageBreak/>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ListParagraph"/>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ListParagraph"/>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ListParagraph"/>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ListParagraph"/>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ListParagraph"/>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ListParagraph"/>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ListParagraph"/>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2" w:name="_Toc510091704"/>
      <w:r w:rsidRPr="00C37077">
        <w:rPr>
          <w:color w:val="000000" w:themeColor="text1"/>
          <w:lang w:val="lt-LT"/>
        </w:rPr>
        <w:t>5. PASIŪLYMŲ RENGIMAS, PATEIKIMAS, KEITIMAS</w:t>
      </w:r>
      <w:bookmarkEnd w:id="2"/>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ListParagraph"/>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6E8AD27A" w:rsidR="00051C24" w:rsidRPr="00AE3F51" w:rsidRDefault="00051C24" w:rsidP="00051C24">
      <w:pPr>
        <w:spacing w:after="0" w:line="240" w:lineRule="auto"/>
        <w:jc w:val="both"/>
        <w:rPr>
          <w:sz w:val="22"/>
        </w:rPr>
      </w:pPr>
      <w:r w:rsidRPr="00AE3F51">
        <w:rPr>
          <w:rFonts w:eastAsiaTheme="minorHAnsi"/>
          <w:bCs/>
          <w:iCs/>
          <w:sz w:val="22"/>
        </w:rPr>
        <w:t xml:space="preserve">5.2. Pasiūlymas turi būti parengtas ir pateiktas pagal pirkimo sąlygų reikalavimus, užpildant Pasiūlymo formą, kuri pateikta kaip SPS </w:t>
      </w:r>
      <w:r w:rsidR="00AF247E">
        <w:rPr>
          <w:rFonts w:eastAsiaTheme="minorHAnsi"/>
          <w:bCs/>
          <w:iCs/>
          <w:sz w:val="22"/>
        </w:rPr>
        <w:t>2</w:t>
      </w:r>
      <w:r w:rsidRPr="00AE3F51">
        <w:rPr>
          <w:rFonts w:eastAsiaTheme="minorHAnsi"/>
          <w:bCs/>
          <w:iCs/>
          <w:sz w:val="22"/>
        </w:rPr>
        <w:t xml:space="preserve"> priedas</w:t>
      </w:r>
      <w:r w:rsidR="00AF247E">
        <w:rPr>
          <w:rFonts w:eastAsiaTheme="minorHAnsi"/>
          <w:bCs/>
          <w:iCs/>
          <w:sz w:val="22"/>
        </w:rPr>
        <w:t xml:space="preserve"> ir užpildant Techninę specifikaciją</w:t>
      </w:r>
      <w:r w:rsidR="00AF247E">
        <w:t>,</w:t>
      </w:r>
      <w:r w:rsidR="00AF247E" w:rsidRPr="00AF247E">
        <w:rPr>
          <w:rFonts w:eastAsiaTheme="minorHAnsi"/>
          <w:bCs/>
          <w:iCs/>
          <w:sz w:val="22"/>
        </w:rPr>
        <w:t xml:space="preserve"> pateikta kaip SPS </w:t>
      </w:r>
      <w:r w:rsidR="00AF247E">
        <w:rPr>
          <w:rFonts w:eastAsiaTheme="minorHAnsi"/>
          <w:bCs/>
          <w:iCs/>
          <w:sz w:val="22"/>
        </w:rPr>
        <w:t>1</w:t>
      </w:r>
      <w:r w:rsidR="00AF247E" w:rsidRPr="00AF247E">
        <w:rPr>
          <w:rFonts w:eastAsiaTheme="minorHAnsi"/>
          <w:bCs/>
          <w:iCs/>
          <w:sz w:val="22"/>
        </w:rPr>
        <w:t xml:space="preserve">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27BC689"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lastRenderedPageBreak/>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77777777" w:rsidR="00051C24"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6B2D1087"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ListParagraph"/>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3" w:name="_Toc510091705"/>
      <w:r w:rsidRPr="00C37077">
        <w:rPr>
          <w:color w:val="000000" w:themeColor="text1"/>
          <w:lang w:val="lt-LT"/>
        </w:rPr>
        <w:t>6. PASIŪLYMŲ ŠIFRAVIMAS</w:t>
      </w:r>
      <w:bookmarkEnd w:id="3"/>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6674535C"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2CF32011" w14:textId="77777777" w:rsidR="005D15B9" w:rsidRPr="00340BFF" w:rsidRDefault="005D15B9" w:rsidP="00051C24">
      <w:pPr>
        <w:pStyle w:val="Body2"/>
        <w:rPr>
          <w:color w:val="000000" w:themeColor="text1"/>
          <w:lang w:val="lt-LT"/>
        </w:rPr>
      </w:pPr>
    </w:p>
    <w:p w14:paraId="5F00563E" w14:textId="77777777" w:rsidR="00051C24" w:rsidRDefault="00051C24" w:rsidP="00F27217">
      <w:pPr>
        <w:pStyle w:val="Heading"/>
        <w:jc w:val="center"/>
        <w:rPr>
          <w:color w:val="000000" w:themeColor="text1"/>
          <w:lang w:val="lt-LT"/>
        </w:rPr>
      </w:pPr>
      <w:bookmarkStart w:id="4" w:name="_Toc510091706"/>
      <w:r w:rsidRPr="00C37077">
        <w:rPr>
          <w:color w:val="000000" w:themeColor="text1"/>
          <w:lang w:val="lt-LT"/>
        </w:rPr>
        <w:lastRenderedPageBreak/>
        <w:t>7. PASIŪLYMŲ GALIOJIMO UŽTIKRINIMAS</w:t>
      </w:r>
      <w:bookmarkEnd w:id="4"/>
    </w:p>
    <w:p w14:paraId="2AF9715A" w14:textId="77777777" w:rsidR="00F27217" w:rsidRPr="00F27217" w:rsidRDefault="00F27217" w:rsidP="00F27217">
      <w:pPr>
        <w:spacing w:after="0" w:line="240" w:lineRule="auto"/>
        <w:rPr>
          <w:sz w:val="16"/>
          <w:szCs w:val="16"/>
          <w:lang w:eastAsia="lt-LT"/>
        </w:rPr>
      </w:pPr>
    </w:p>
    <w:p w14:paraId="3E7E4198" w14:textId="77777777"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5" w:name="_Toc510091707"/>
      <w:r w:rsidRPr="00C37077">
        <w:rPr>
          <w:color w:val="000000" w:themeColor="text1"/>
          <w:lang w:val="lt-LT"/>
        </w:rPr>
        <w:t>9. PIRKIMO DOKUMENTŲ PAAIŠKINIMAS IR PATIKSLINIMAS</w:t>
      </w:r>
      <w:bookmarkEnd w:id="5"/>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lastRenderedPageBreak/>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6" w:name="_Toc510091709"/>
      <w:r w:rsidRPr="00C37077">
        <w:rPr>
          <w:color w:val="000000" w:themeColor="text1"/>
          <w:lang w:val="lt-LT"/>
        </w:rPr>
        <w:t>11. PASIŪLYMŲ NAGRINĖJIMAS</w:t>
      </w:r>
      <w:bookmarkEnd w:id="6"/>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w:t>
      </w:r>
      <w:r w:rsidRPr="00442437">
        <w:rPr>
          <w:color w:val="auto"/>
          <w:lang w:val="lt-LT"/>
        </w:rPr>
        <w:lastRenderedPageBreak/>
        <w:t xml:space="preserve">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BodyText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843F11">
        <w:rPr>
          <w:color w:val="000000" w:themeColor="text1"/>
          <w:lang w:val="lt-LT"/>
        </w:rPr>
        <w:lastRenderedPageBreak/>
        <w:t>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ListParagraph"/>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7"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7"/>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8" w:name="_Toc510091711"/>
      <w:r>
        <w:rPr>
          <w:color w:val="000000" w:themeColor="text1"/>
          <w:lang w:val="lt-LT"/>
        </w:rPr>
        <w:t>14</w:t>
      </w:r>
      <w:r w:rsidRPr="008E242A">
        <w:rPr>
          <w:color w:val="000000" w:themeColor="text1"/>
          <w:lang w:val="lt-LT"/>
        </w:rPr>
        <w:t>. PASIŪLYMŲ EILĖ IR LAIMĖTOJO NUSTATYMAS</w:t>
      </w:r>
      <w:bookmarkEnd w:id="8"/>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ListParagraph"/>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9" w:name="_Toc510091713"/>
      <w:r>
        <w:rPr>
          <w:color w:val="000000" w:themeColor="text1"/>
          <w:lang w:val="lt-LT"/>
        </w:rPr>
        <w:t xml:space="preserve">16. </w:t>
      </w:r>
      <w:r w:rsidRPr="00C37077">
        <w:rPr>
          <w:color w:val="000000" w:themeColor="text1"/>
          <w:lang w:val="lt-LT"/>
        </w:rPr>
        <w:t>PIRKIMO SUTARTIES PASIRAŠYMAS IR SĄLYGOS</w:t>
      </w:r>
      <w:bookmarkEnd w:id="9"/>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9B759F1" w:rsidR="00051C24" w:rsidRDefault="00051C24" w:rsidP="00051C24">
      <w:pPr>
        <w:spacing w:after="0" w:line="240" w:lineRule="auto"/>
        <w:jc w:val="both"/>
        <w:rPr>
          <w:color w:val="000000" w:themeColor="text1"/>
          <w:sz w:val="22"/>
        </w:rPr>
      </w:pPr>
      <w:r>
        <w:rPr>
          <w:color w:val="000000" w:themeColor="text1"/>
          <w:sz w:val="22"/>
        </w:rPr>
        <w:lastRenderedPageBreak/>
        <w:t xml:space="preserve">16.4. </w:t>
      </w:r>
      <w:r w:rsidRPr="00C23A1D">
        <w:rPr>
          <w:color w:val="000000" w:themeColor="text1"/>
          <w:sz w:val="22"/>
        </w:rPr>
        <w:t>Pirkimo sutarties sąlygos pateikiamos SPS 2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AC6485">
      <w:headerReference w:type="default" r:id="rId17"/>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3A07" w14:textId="77777777" w:rsidR="00F162E3" w:rsidRDefault="00F162E3" w:rsidP="000D0909">
      <w:pPr>
        <w:spacing w:after="0" w:line="240" w:lineRule="auto"/>
      </w:pPr>
      <w:r>
        <w:separator/>
      </w:r>
    </w:p>
  </w:endnote>
  <w:endnote w:type="continuationSeparator" w:id="0">
    <w:p w14:paraId="174B89D0" w14:textId="77777777" w:rsidR="00F162E3" w:rsidRDefault="00F162E3"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329C" w14:textId="77777777" w:rsidR="00F162E3" w:rsidRDefault="00F162E3" w:rsidP="000D0909">
      <w:pPr>
        <w:spacing w:after="0" w:line="240" w:lineRule="auto"/>
      </w:pPr>
      <w:r>
        <w:separator/>
      </w:r>
    </w:p>
  </w:footnote>
  <w:footnote w:type="continuationSeparator" w:id="0">
    <w:p w14:paraId="324A3E86" w14:textId="77777777" w:rsidR="00F162E3" w:rsidRDefault="00F162E3" w:rsidP="000D0909">
      <w:pPr>
        <w:spacing w:after="0" w:line="240" w:lineRule="auto"/>
      </w:pPr>
      <w:r>
        <w:continuationSeparator/>
      </w:r>
    </w:p>
  </w:footnote>
  <w:footnote w:id="1">
    <w:p w14:paraId="4D1BC757"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FootnoteText"/>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FootnoteText"/>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FootnoteText"/>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FootnoteText"/>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FootnoteText"/>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FootnoteText"/>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Header"/>
          <w:jc w:val="center"/>
        </w:pPr>
        <w:r>
          <w:fldChar w:fldCharType="begin"/>
        </w:r>
        <w:r>
          <w:instrText xml:space="preserve"> PAGE   \* MERGEFORMAT </w:instrText>
        </w:r>
        <w:r>
          <w:fldChar w:fldCharType="separate"/>
        </w:r>
        <w:r w:rsidR="00C8337A">
          <w:rPr>
            <w:noProof/>
          </w:rPr>
          <w:t>17</w:t>
        </w:r>
        <w:r>
          <w:rPr>
            <w:noProof/>
          </w:rPr>
          <w:fldChar w:fldCharType="end"/>
        </w:r>
      </w:p>
    </w:sdtContent>
  </w:sdt>
  <w:p w14:paraId="74DDB515" w14:textId="77777777" w:rsidR="00DA7DDB" w:rsidRDefault="00DA7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5C79"/>
    <w:rsid w:val="00021E65"/>
    <w:rsid w:val="00051C24"/>
    <w:rsid w:val="00053BD8"/>
    <w:rsid w:val="000839A2"/>
    <w:rsid w:val="00085663"/>
    <w:rsid w:val="000A638A"/>
    <w:rsid w:val="000C687C"/>
    <w:rsid w:val="000D0909"/>
    <w:rsid w:val="000D4F4F"/>
    <w:rsid w:val="000E1D7E"/>
    <w:rsid w:val="0012405F"/>
    <w:rsid w:val="001346AB"/>
    <w:rsid w:val="001364DB"/>
    <w:rsid w:val="00145703"/>
    <w:rsid w:val="00161D54"/>
    <w:rsid w:val="00186B2B"/>
    <w:rsid w:val="00196E60"/>
    <w:rsid w:val="00197065"/>
    <w:rsid w:val="001B0A52"/>
    <w:rsid w:val="001B31B4"/>
    <w:rsid w:val="001D44AC"/>
    <w:rsid w:val="001F157B"/>
    <w:rsid w:val="00202898"/>
    <w:rsid w:val="00205FDA"/>
    <w:rsid w:val="0020619C"/>
    <w:rsid w:val="00236F16"/>
    <w:rsid w:val="002403BF"/>
    <w:rsid w:val="00255677"/>
    <w:rsid w:val="002635B6"/>
    <w:rsid w:val="00273F63"/>
    <w:rsid w:val="00281924"/>
    <w:rsid w:val="00285BE1"/>
    <w:rsid w:val="0029077B"/>
    <w:rsid w:val="002B1D9E"/>
    <w:rsid w:val="002C1A0A"/>
    <w:rsid w:val="002E69CB"/>
    <w:rsid w:val="002E6D36"/>
    <w:rsid w:val="002F5938"/>
    <w:rsid w:val="00322C1F"/>
    <w:rsid w:val="00325364"/>
    <w:rsid w:val="003660D2"/>
    <w:rsid w:val="00372229"/>
    <w:rsid w:val="003762FC"/>
    <w:rsid w:val="003841C6"/>
    <w:rsid w:val="003848C8"/>
    <w:rsid w:val="00384D2B"/>
    <w:rsid w:val="0039104E"/>
    <w:rsid w:val="00397BBC"/>
    <w:rsid w:val="003A2D00"/>
    <w:rsid w:val="003A346D"/>
    <w:rsid w:val="003B2592"/>
    <w:rsid w:val="003B5EDD"/>
    <w:rsid w:val="003C3DD4"/>
    <w:rsid w:val="003C70FD"/>
    <w:rsid w:val="003D0F29"/>
    <w:rsid w:val="003E0868"/>
    <w:rsid w:val="003E543E"/>
    <w:rsid w:val="003E5628"/>
    <w:rsid w:val="00400B4D"/>
    <w:rsid w:val="0040743F"/>
    <w:rsid w:val="00420B5A"/>
    <w:rsid w:val="00423096"/>
    <w:rsid w:val="00440C92"/>
    <w:rsid w:val="004560F9"/>
    <w:rsid w:val="00457F6F"/>
    <w:rsid w:val="00463981"/>
    <w:rsid w:val="00473927"/>
    <w:rsid w:val="004813D4"/>
    <w:rsid w:val="00493606"/>
    <w:rsid w:val="00496DE0"/>
    <w:rsid w:val="004B2612"/>
    <w:rsid w:val="004C034B"/>
    <w:rsid w:val="004C4B46"/>
    <w:rsid w:val="004C58FC"/>
    <w:rsid w:val="004D2CEC"/>
    <w:rsid w:val="004D3B12"/>
    <w:rsid w:val="004D7BB0"/>
    <w:rsid w:val="004E73DD"/>
    <w:rsid w:val="0052405A"/>
    <w:rsid w:val="0052412D"/>
    <w:rsid w:val="00531450"/>
    <w:rsid w:val="0054127F"/>
    <w:rsid w:val="0055150C"/>
    <w:rsid w:val="005541F4"/>
    <w:rsid w:val="0055781F"/>
    <w:rsid w:val="0056489D"/>
    <w:rsid w:val="00565B54"/>
    <w:rsid w:val="005749EF"/>
    <w:rsid w:val="00575BC1"/>
    <w:rsid w:val="00584C35"/>
    <w:rsid w:val="005C35E6"/>
    <w:rsid w:val="005D15B9"/>
    <w:rsid w:val="005F5D2B"/>
    <w:rsid w:val="0060041B"/>
    <w:rsid w:val="00601039"/>
    <w:rsid w:val="0063434C"/>
    <w:rsid w:val="006710C0"/>
    <w:rsid w:val="00676AA3"/>
    <w:rsid w:val="006809E7"/>
    <w:rsid w:val="006A7AF2"/>
    <w:rsid w:val="006C172E"/>
    <w:rsid w:val="006C40DB"/>
    <w:rsid w:val="006E13E8"/>
    <w:rsid w:val="006E1B51"/>
    <w:rsid w:val="006F670C"/>
    <w:rsid w:val="0070518D"/>
    <w:rsid w:val="007276EA"/>
    <w:rsid w:val="00751755"/>
    <w:rsid w:val="00751DDA"/>
    <w:rsid w:val="00781121"/>
    <w:rsid w:val="0078744C"/>
    <w:rsid w:val="00787470"/>
    <w:rsid w:val="0079679B"/>
    <w:rsid w:val="007A456D"/>
    <w:rsid w:val="007D21D3"/>
    <w:rsid w:val="007D6B33"/>
    <w:rsid w:val="007D6CF1"/>
    <w:rsid w:val="007E3F15"/>
    <w:rsid w:val="007F1244"/>
    <w:rsid w:val="007F3738"/>
    <w:rsid w:val="0080587E"/>
    <w:rsid w:val="00811FF8"/>
    <w:rsid w:val="00821FD1"/>
    <w:rsid w:val="00822604"/>
    <w:rsid w:val="00823885"/>
    <w:rsid w:val="00846E6E"/>
    <w:rsid w:val="008501B6"/>
    <w:rsid w:val="00862651"/>
    <w:rsid w:val="008733CF"/>
    <w:rsid w:val="008803EC"/>
    <w:rsid w:val="00890350"/>
    <w:rsid w:val="00897153"/>
    <w:rsid w:val="008A7DF6"/>
    <w:rsid w:val="008C270E"/>
    <w:rsid w:val="008C364E"/>
    <w:rsid w:val="008C6895"/>
    <w:rsid w:val="008D1AEF"/>
    <w:rsid w:val="008D64F5"/>
    <w:rsid w:val="00940456"/>
    <w:rsid w:val="0094789E"/>
    <w:rsid w:val="00953C88"/>
    <w:rsid w:val="00974380"/>
    <w:rsid w:val="00982BDF"/>
    <w:rsid w:val="00991197"/>
    <w:rsid w:val="00994CFB"/>
    <w:rsid w:val="0099727F"/>
    <w:rsid w:val="009A654D"/>
    <w:rsid w:val="009B3387"/>
    <w:rsid w:val="009D5ED0"/>
    <w:rsid w:val="009D7BDD"/>
    <w:rsid w:val="009E2070"/>
    <w:rsid w:val="009E6308"/>
    <w:rsid w:val="009E722F"/>
    <w:rsid w:val="009E7294"/>
    <w:rsid w:val="009F3A56"/>
    <w:rsid w:val="00A01395"/>
    <w:rsid w:val="00A278D4"/>
    <w:rsid w:val="00A306A7"/>
    <w:rsid w:val="00A36B60"/>
    <w:rsid w:val="00A64AE3"/>
    <w:rsid w:val="00A65375"/>
    <w:rsid w:val="00A9122C"/>
    <w:rsid w:val="00A93189"/>
    <w:rsid w:val="00AA10FC"/>
    <w:rsid w:val="00AA1FF4"/>
    <w:rsid w:val="00AA59D7"/>
    <w:rsid w:val="00AB3297"/>
    <w:rsid w:val="00AB664F"/>
    <w:rsid w:val="00AB67EC"/>
    <w:rsid w:val="00AC6485"/>
    <w:rsid w:val="00AE4273"/>
    <w:rsid w:val="00AF247E"/>
    <w:rsid w:val="00AF3915"/>
    <w:rsid w:val="00B078B4"/>
    <w:rsid w:val="00B10437"/>
    <w:rsid w:val="00B157BD"/>
    <w:rsid w:val="00B23C6D"/>
    <w:rsid w:val="00B272BA"/>
    <w:rsid w:val="00B4112F"/>
    <w:rsid w:val="00B4437A"/>
    <w:rsid w:val="00B45544"/>
    <w:rsid w:val="00B62D05"/>
    <w:rsid w:val="00B64E21"/>
    <w:rsid w:val="00BC35C8"/>
    <w:rsid w:val="00BC428C"/>
    <w:rsid w:val="00BD06B5"/>
    <w:rsid w:val="00BD241F"/>
    <w:rsid w:val="00BF262C"/>
    <w:rsid w:val="00BF2FAD"/>
    <w:rsid w:val="00BF3B5A"/>
    <w:rsid w:val="00BF4DE9"/>
    <w:rsid w:val="00C02167"/>
    <w:rsid w:val="00C13064"/>
    <w:rsid w:val="00C5679F"/>
    <w:rsid w:val="00C63016"/>
    <w:rsid w:val="00C64BCB"/>
    <w:rsid w:val="00C661A2"/>
    <w:rsid w:val="00C701A2"/>
    <w:rsid w:val="00C760FC"/>
    <w:rsid w:val="00C8337A"/>
    <w:rsid w:val="00C83881"/>
    <w:rsid w:val="00C8427A"/>
    <w:rsid w:val="00C91CBF"/>
    <w:rsid w:val="00CA5214"/>
    <w:rsid w:val="00CB2234"/>
    <w:rsid w:val="00CC1D51"/>
    <w:rsid w:val="00CE2C8B"/>
    <w:rsid w:val="00CF3023"/>
    <w:rsid w:val="00CF7C75"/>
    <w:rsid w:val="00D16F29"/>
    <w:rsid w:val="00D20535"/>
    <w:rsid w:val="00D20DAD"/>
    <w:rsid w:val="00D477B1"/>
    <w:rsid w:val="00D527C8"/>
    <w:rsid w:val="00D532FB"/>
    <w:rsid w:val="00D57069"/>
    <w:rsid w:val="00D6485C"/>
    <w:rsid w:val="00D837F3"/>
    <w:rsid w:val="00D86BB5"/>
    <w:rsid w:val="00D87F19"/>
    <w:rsid w:val="00DA0FB8"/>
    <w:rsid w:val="00DA7DDB"/>
    <w:rsid w:val="00DB1C38"/>
    <w:rsid w:val="00DB518D"/>
    <w:rsid w:val="00DD12DF"/>
    <w:rsid w:val="00E00329"/>
    <w:rsid w:val="00E142FD"/>
    <w:rsid w:val="00E42CD7"/>
    <w:rsid w:val="00E43FA4"/>
    <w:rsid w:val="00E449FF"/>
    <w:rsid w:val="00E610C3"/>
    <w:rsid w:val="00E7782C"/>
    <w:rsid w:val="00E960FA"/>
    <w:rsid w:val="00EB1180"/>
    <w:rsid w:val="00EC363E"/>
    <w:rsid w:val="00ED42DD"/>
    <w:rsid w:val="00EF1EE7"/>
    <w:rsid w:val="00F01CA0"/>
    <w:rsid w:val="00F02A4B"/>
    <w:rsid w:val="00F118B7"/>
    <w:rsid w:val="00F12957"/>
    <w:rsid w:val="00F160C9"/>
    <w:rsid w:val="00F162E3"/>
    <w:rsid w:val="00F16FA4"/>
    <w:rsid w:val="00F21D70"/>
    <w:rsid w:val="00F24C5B"/>
    <w:rsid w:val="00F25F40"/>
    <w:rsid w:val="00F27217"/>
    <w:rsid w:val="00F27C74"/>
    <w:rsid w:val="00F420E8"/>
    <w:rsid w:val="00F43A9C"/>
    <w:rsid w:val="00F5413D"/>
    <w:rsid w:val="00F66F7D"/>
    <w:rsid w:val="00F72EA1"/>
    <w:rsid w:val="00F832FF"/>
    <w:rsid w:val="00F8432B"/>
    <w:rsid w:val="00FA1349"/>
    <w:rsid w:val="00FB1036"/>
    <w:rsid w:val="00FB5370"/>
    <w:rsid w:val="00FE176C"/>
    <w:rsid w:val="00FE3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2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51C2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C24"/>
    <w:rPr>
      <w:rFonts w:ascii="Times New Roman" w:eastAsia="Calibri" w:hAnsi="Times New Roman" w:cs="Times New Roman"/>
      <w:sz w:val="24"/>
    </w:rPr>
  </w:style>
  <w:style w:type="paragraph" w:customStyle="1" w:styleId="Heading">
    <w:name w:val="Heading"/>
    <w:next w:val="Normal"/>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yperlink"/>
    <w:rsid w:val="00051C24"/>
    <w:rPr>
      <w:color w:val="0000FF"/>
      <w:u w:val="single"/>
    </w:rPr>
  </w:style>
  <w:style w:type="character" w:styleId="Hyperlink">
    <w:name w:val="Hyperlink"/>
    <w:basedOn w:val="DefaultParagraphFont"/>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unhideWhenUsed/>
    <w:rsid w:val="00051C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1C24"/>
    <w:rPr>
      <w:rFonts w:ascii="Times New Roman" w:eastAsia="Calibri" w:hAnsi="Times New Roman" w:cs="Times New Roman"/>
      <w:sz w:val="24"/>
    </w:rPr>
  </w:style>
  <w:style w:type="paragraph" w:styleId="Footer">
    <w:name w:val="footer"/>
    <w:basedOn w:val="Normal"/>
    <w:link w:val="FooterChar"/>
    <w:unhideWhenUsed/>
    <w:rsid w:val="00051C24"/>
    <w:pPr>
      <w:tabs>
        <w:tab w:val="center" w:pos="4819"/>
        <w:tab w:val="right" w:pos="9638"/>
      </w:tabs>
      <w:spacing w:after="0" w:line="240" w:lineRule="auto"/>
    </w:pPr>
  </w:style>
  <w:style w:type="character" w:customStyle="1" w:styleId="FooterChar">
    <w:name w:val="Footer Char"/>
    <w:basedOn w:val="DefaultParagraphFont"/>
    <w:link w:val="Footer"/>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DefaultParagraphFont"/>
    <w:uiPriority w:val="99"/>
    <w:rsid w:val="00051C24"/>
    <w:rPr>
      <w:rFonts w:ascii="Brandon Grotesque Regular" w:hAnsi="Brandon Grotesque Regular" w:hint="default"/>
      <w:color w:val="000000"/>
    </w:rPr>
  </w:style>
  <w:style w:type="paragraph" w:styleId="BodyText3">
    <w:name w:val="Body Text 3"/>
    <w:basedOn w:val="Normal"/>
    <w:link w:val="BodyText3Char"/>
    <w:uiPriority w:val="99"/>
    <w:unhideWhenUsed/>
    <w:rsid w:val="00051C24"/>
    <w:pPr>
      <w:spacing w:after="120"/>
    </w:pPr>
    <w:rPr>
      <w:sz w:val="16"/>
      <w:szCs w:val="16"/>
    </w:rPr>
  </w:style>
  <w:style w:type="character" w:customStyle="1" w:styleId="BodyText3Char">
    <w:name w:val="Body Text 3 Char"/>
    <w:basedOn w:val="DefaultParagraphFont"/>
    <w:link w:val="BodyText3"/>
    <w:uiPriority w:val="99"/>
    <w:rsid w:val="00051C24"/>
    <w:rPr>
      <w:rFonts w:ascii="Times New Roman" w:eastAsia="Calibri" w:hAnsi="Times New Roman" w:cs="Times New Roman"/>
      <w:sz w:val="16"/>
      <w:szCs w:val="16"/>
    </w:rPr>
  </w:style>
  <w:style w:type="table" w:styleId="TableGrid">
    <w:name w:val="Table Grid"/>
    <w:basedOn w:val="TableNorma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Normal"/>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BalloonText">
    <w:name w:val="Balloon Text"/>
    <w:basedOn w:val="Normal"/>
    <w:link w:val="BalloonTextChar"/>
    <w:uiPriority w:val="99"/>
    <w:semiHidden/>
    <w:unhideWhenUsed/>
    <w:rsid w:val="0005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24"/>
    <w:rPr>
      <w:rFonts w:ascii="Tahoma" w:eastAsia="Calibri" w:hAnsi="Tahoma" w:cs="Tahoma"/>
      <w:sz w:val="16"/>
      <w:szCs w:val="16"/>
    </w:rPr>
  </w:style>
  <w:style w:type="paragraph" w:styleId="NoSpacing">
    <w:name w:val="No Spacing"/>
    <w:link w:val="NoSpacingChar"/>
    <w:uiPriority w:val="1"/>
    <w:qFormat/>
    <w:rsid w:val="00F27217"/>
    <w:rPr>
      <w:rFonts w:eastAsiaTheme="minorEastAsia"/>
      <w:sz w:val="21"/>
      <w:szCs w:val="21"/>
      <w:lang w:eastAsia="lt-LT"/>
    </w:rPr>
  </w:style>
  <w:style w:type="character" w:customStyle="1" w:styleId="NoSpacingChar">
    <w:name w:val="No Spacing Char"/>
    <w:basedOn w:val="DefaultParagraphFont"/>
    <w:link w:val="NoSpacing"/>
    <w:uiPriority w:val="1"/>
    <w:rsid w:val="00F27217"/>
    <w:rPr>
      <w:rFonts w:eastAsiaTheme="minorEastAsia"/>
      <w:sz w:val="21"/>
      <w:szCs w:val="21"/>
      <w:lang w:eastAsia="lt-LT"/>
    </w:rPr>
  </w:style>
  <w:style w:type="paragraph" w:styleId="FootnoteText">
    <w:name w:val="footnote text"/>
    <w:basedOn w:val="Normal"/>
    <w:link w:val="FootnoteTextChar"/>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F27217"/>
    <w:rPr>
      <w:rFonts w:eastAsiaTheme="minorEastAsia"/>
      <w:sz w:val="20"/>
      <w:szCs w:val="20"/>
      <w:lang w:eastAsia="lt-LT"/>
    </w:rPr>
  </w:style>
  <w:style w:type="character" w:styleId="FootnoteReference">
    <w:name w:val="footnote reference"/>
    <w:basedOn w:val="DefaultParagraphFont"/>
    <w:uiPriority w:val="99"/>
    <w:semiHidden/>
    <w:unhideWhenUsed/>
    <w:rsid w:val="00F27217"/>
    <w:rPr>
      <w:vertAlign w:val="superscript"/>
    </w:rPr>
  </w:style>
  <w:style w:type="character" w:styleId="FollowedHyperlink">
    <w:name w:val="FollowedHyperlink"/>
    <w:basedOn w:val="DefaultParagraphFont"/>
    <w:uiPriority w:val="99"/>
    <w:semiHidden/>
    <w:unhideWhenUsed/>
    <w:rsid w:val="005D1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18</Pages>
  <Words>42328</Words>
  <Characters>24128</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Liutauras Barila</cp:lastModifiedBy>
  <cp:revision>38</cp:revision>
  <cp:lastPrinted>2025-04-29T11:06:00Z</cp:lastPrinted>
  <dcterms:created xsi:type="dcterms:W3CDTF">2023-02-22T06:43:00Z</dcterms:created>
  <dcterms:modified xsi:type="dcterms:W3CDTF">2025-11-11T12:29:00Z</dcterms:modified>
</cp:coreProperties>
</file>