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9FBF" w14:textId="77777777" w:rsidR="00320296" w:rsidRPr="00191CC4" w:rsidRDefault="00320296" w:rsidP="00320296">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0215D0D" w14:textId="77777777" w:rsidR="00320296" w:rsidRPr="00191CC4" w:rsidRDefault="00320296" w:rsidP="00320296">
      <w:pPr>
        <w:spacing w:after="0" w:line="240" w:lineRule="auto"/>
        <w:jc w:val="both"/>
        <w:rPr>
          <w:rFonts w:ascii="Times New Roman" w:eastAsia="Times New Roman" w:hAnsi="Times New Roman" w:cs="Times New Roman"/>
          <w:sz w:val="24"/>
          <w:szCs w:val="20"/>
          <w:lang w:eastAsia="en-US"/>
        </w:rPr>
      </w:pPr>
    </w:p>
    <w:p w14:paraId="1AFB6190" w14:textId="77777777" w:rsidR="00320296" w:rsidRPr="00784D90" w:rsidRDefault="00320296" w:rsidP="00320296">
      <w:pPr>
        <w:numPr>
          <w:ilvl w:val="0"/>
          <w:numId w:val="1"/>
        </w:numPr>
        <w:spacing w:after="0" w:line="240" w:lineRule="auto"/>
        <w:ind w:left="0" w:firstLine="567"/>
        <w:contextualSpacing/>
        <w:jc w:val="center"/>
        <w:rPr>
          <w:rFonts w:ascii="Times New Roman" w:eastAsia="Calibri" w:hAnsi="Times New Roman" w:cs="Times New Roman"/>
          <w:sz w:val="24"/>
          <w:szCs w:val="24"/>
          <w:lang w:eastAsia="lt-LT"/>
        </w:rPr>
      </w:pPr>
      <w:r w:rsidRPr="00784D90">
        <w:rPr>
          <w:rFonts w:ascii="Times New Roman" w:eastAsia="Calibri" w:hAnsi="Times New Roman" w:cs="Times New Roman"/>
          <w:b/>
          <w:bCs/>
          <w:sz w:val="24"/>
          <w:szCs w:val="24"/>
          <w:lang w:eastAsia="en-US"/>
        </w:rPr>
        <w:t>Pagrindinės sąvokos ir apibrėžimai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2551"/>
        <w:gridCol w:w="7077"/>
      </w:tblGrid>
      <w:tr w:rsidR="00320296" w:rsidRPr="00DB4CBE" w14:paraId="00E621DE" w14:textId="77777777" w:rsidTr="006C37B0">
        <w:tc>
          <w:tcPr>
            <w:tcW w:w="1325" w:type="pct"/>
            <w:shd w:val="clear" w:color="auto" w:fill="DBDBDB"/>
            <w:tcMar>
              <w:top w:w="100" w:type="dxa"/>
              <w:left w:w="115" w:type="dxa"/>
              <w:bottom w:w="100" w:type="dxa"/>
              <w:right w:w="115" w:type="dxa"/>
            </w:tcMar>
            <w:vAlign w:val="center"/>
          </w:tcPr>
          <w:p w14:paraId="38DAA0BD" w14:textId="77777777" w:rsidR="00320296" w:rsidRPr="00DB4CBE" w:rsidRDefault="00320296" w:rsidP="006C37B0">
            <w:pPr>
              <w:spacing w:after="0" w:line="240" w:lineRule="auto"/>
              <w:ind w:firstLine="567"/>
              <w:jc w:val="both"/>
              <w:rPr>
                <w:rFonts w:ascii="Times New Roman" w:eastAsia="Times New Roman" w:hAnsi="Times New Roman" w:cs="Times New Roman"/>
                <w:lang w:eastAsia="lt-LT"/>
              </w:rPr>
            </w:pPr>
            <w:r w:rsidRPr="00DB4CBE">
              <w:rPr>
                <w:rFonts w:ascii="Times New Roman" w:eastAsia="Times New Roman" w:hAnsi="Times New Roman" w:cs="Times New Roman"/>
                <w:b/>
                <w:bCs/>
                <w:lang w:eastAsia="lt-LT"/>
              </w:rPr>
              <w:t>Sutrumpinimas</w:t>
            </w:r>
          </w:p>
        </w:tc>
        <w:tc>
          <w:tcPr>
            <w:tcW w:w="3675" w:type="pct"/>
            <w:shd w:val="clear" w:color="auto" w:fill="DBDBDB"/>
            <w:tcMar>
              <w:top w:w="100" w:type="dxa"/>
              <w:left w:w="115" w:type="dxa"/>
              <w:bottom w:w="100" w:type="dxa"/>
              <w:right w:w="115" w:type="dxa"/>
            </w:tcMar>
            <w:vAlign w:val="center"/>
          </w:tcPr>
          <w:p w14:paraId="36554934" w14:textId="77777777" w:rsidR="00320296" w:rsidRPr="00DB4CBE" w:rsidRDefault="00320296" w:rsidP="006C37B0">
            <w:pPr>
              <w:spacing w:after="0" w:line="240" w:lineRule="auto"/>
              <w:ind w:firstLine="567"/>
              <w:jc w:val="both"/>
              <w:rPr>
                <w:rFonts w:ascii="Times New Roman" w:eastAsia="Times New Roman" w:hAnsi="Times New Roman" w:cs="Times New Roman"/>
                <w:lang w:eastAsia="lt-LT"/>
              </w:rPr>
            </w:pPr>
            <w:r w:rsidRPr="00DB4CBE">
              <w:rPr>
                <w:rFonts w:ascii="Times New Roman" w:eastAsia="Times New Roman" w:hAnsi="Times New Roman" w:cs="Times New Roman"/>
                <w:b/>
                <w:bCs/>
                <w:lang w:eastAsia="lt-LT"/>
              </w:rPr>
              <w:t>Aprašymas</w:t>
            </w:r>
          </w:p>
        </w:tc>
      </w:tr>
      <w:tr w:rsidR="00320296" w:rsidRPr="00DB4CBE" w14:paraId="7A1A4A76" w14:textId="77777777" w:rsidTr="006C37B0">
        <w:tc>
          <w:tcPr>
            <w:tcW w:w="1325" w:type="pct"/>
            <w:tcMar>
              <w:top w:w="100" w:type="dxa"/>
              <w:left w:w="115" w:type="dxa"/>
              <w:bottom w:w="100" w:type="dxa"/>
              <w:right w:w="115" w:type="dxa"/>
            </w:tcMar>
          </w:tcPr>
          <w:p w14:paraId="17ADEA30" w14:textId="77777777" w:rsidR="00320296" w:rsidRPr="00DB4CBE" w:rsidRDefault="00320296" w:rsidP="006C37B0">
            <w:pPr>
              <w:spacing w:after="0" w:line="240" w:lineRule="auto"/>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Klientas</w:t>
            </w:r>
          </w:p>
        </w:tc>
        <w:tc>
          <w:tcPr>
            <w:tcW w:w="3675" w:type="pct"/>
            <w:tcMar>
              <w:top w:w="100" w:type="dxa"/>
              <w:left w:w="115" w:type="dxa"/>
              <w:bottom w:w="100" w:type="dxa"/>
              <w:right w:w="115" w:type="dxa"/>
            </w:tcMar>
          </w:tcPr>
          <w:p w14:paraId="05FDF12F"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Vilniaus miesto savivaldybės administracija</w:t>
            </w:r>
          </w:p>
        </w:tc>
      </w:tr>
      <w:tr w:rsidR="00320296" w:rsidRPr="00DB4CBE" w14:paraId="351CC25A" w14:textId="77777777" w:rsidTr="006C37B0">
        <w:tc>
          <w:tcPr>
            <w:tcW w:w="1325" w:type="pct"/>
            <w:tcMar>
              <w:top w:w="100" w:type="dxa"/>
              <w:left w:w="115" w:type="dxa"/>
              <w:bottom w:w="100" w:type="dxa"/>
              <w:right w:w="115" w:type="dxa"/>
            </w:tcMar>
          </w:tcPr>
          <w:p w14:paraId="5DA783C5" w14:textId="77777777" w:rsidR="00320296" w:rsidRPr="00DB4CBE" w:rsidRDefault="00320296" w:rsidP="006C37B0">
            <w:pPr>
              <w:spacing w:after="0" w:line="240" w:lineRule="auto"/>
              <w:jc w:val="both"/>
              <w:rPr>
                <w:rFonts w:ascii="Times New Roman" w:eastAsia="Calibri" w:hAnsi="Times New Roman" w:cs="Times New Roman"/>
                <w:b/>
                <w:sz w:val="24"/>
                <w:szCs w:val="24"/>
                <w:lang w:eastAsia="en-US"/>
              </w:rPr>
            </w:pPr>
            <w:r w:rsidRPr="00DB4CBE">
              <w:rPr>
                <w:rFonts w:ascii="Times New Roman" w:eastAsia="Calibri" w:hAnsi="Times New Roman" w:cs="Times New Roman"/>
                <w:b/>
                <w:sz w:val="24"/>
                <w:szCs w:val="24"/>
                <w:lang w:eastAsia="en-US"/>
              </w:rPr>
              <w:t>Skyrius</w:t>
            </w:r>
          </w:p>
        </w:tc>
        <w:tc>
          <w:tcPr>
            <w:tcW w:w="3675" w:type="pct"/>
            <w:tcMar>
              <w:top w:w="100" w:type="dxa"/>
              <w:left w:w="115" w:type="dxa"/>
              <w:bottom w:w="100" w:type="dxa"/>
              <w:right w:w="115" w:type="dxa"/>
            </w:tcMar>
          </w:tcPr>
          <w:p w14:paraId="7E76F833"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Vilniaus miesto savivaldybės struktūrinis dalinys</w:t>
            </w:r>
          </w:p>
        </w:tc>
      </w:tr>
      <w:tr w:rsidR="00320296" w:rsidRPr="00DB4CBE" w14:paraId="7938563D" w14:textId="77777777" w:rsidTr="006C37B0">
        <w:tc>
          <w:tcPr>
            <w:tcW w:w="1325" w:type="pct"/>
            <w:tcMar>
              <w:top w:w="100" w:type="dxa"/>
              <w:left w:w="115" w:type="dxa"/>
              <w:bottom w:w="100" w:type="dxa"/>
              <w:right w:w="115" w:type="dxa"/>
            </w:tcMar>
          </w:tcPr>
          <w:p w14:paraId="2B58BA0F" w14:textId="77777777" w:rsidR="00320296" w:rsidRPr="00DB4CBE" w:rsidRDefault="00320296" w:rsidP="006C37B0">
            <w:pPr>
              <w:spacing w:after="0" w:line="240" w:lineRule="auto"/>
              <w:jc w:val="both"/>
              <w:rPr>
                <w:rFonts w:ascii="Times New Roman" w:eastAsia="Calibri" w:hAnsi="Times New Roman" w:cs="Times New Roman"/>
                <w:b/>
                <w:sz w:val="24"/>
                <w:szCs w:val="24"/>
                <w:lang w:eastAsia="en-US"/>
              </w:rPr>
            </w:pPr>
            <w:r w:rsidRPr="00DB4CBE">
              <w:rPr>
                <w:rFonts w:ascii="Times New Roman" w:eastAsia="Calibri" w:hAnsi="Times New Roman" w:cs="Times New Roman"/>
                <w:b/>
                <w:sz w:val="24"/>
                <w:szCs w:val="24"/>
                <w:lang w:eastAsia="en-US"/>
              </w:rPr>
              <w:t>Vidinis vartotojas</w:t>
            </w:r>
          </w:p>
        </w:tc>
        <w:tc>
          <w:tcPr>
            <w:tcW w:w="3675" w:type="pct"/>
            <w:tcMar>
              <w:top w:w="100" w:type="dxa"/>
              <w:left w:w="115" w:type="dxa"/>
              <w:bottom w:w="100" w:type="dxa"/>
              <w:right w:w="115" w:type="dxa"/>
            </w:tcMar>
          </w:tcPr>
          <w:p w14:paraId="05E6903E"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Vartotojas, kuris sistemoje save identifikuoja naudojant LDAP, Savivaldybės darbuotojas.</w:t>
            </w:r>
          </w:p>
        </w:tc>
      </w:tr>
      <w:tr w:rsidR="00320296" w:rsidRPr="00DB4CBE" w14:paraId="660137E7" w14:textId="77777777" w:rsidTr="006C37B0">
        <w:tc>
          <w:tcPr>
            <w:tcW w:w="1325" w:type="pct"/>
            <w:tcMar>
              <w:top w:w="100" w:type="dxa"/>
              <w:left w:w="115" w:type="dxa"/>
              <w:bottom w:w="100" w:type="dxa"/>
              <w:right w:w="115" w:type="dxa"/>
            </w:tcMar>
          </w:tcPr>
          <w:p w14:paraId="01515973" w14:textId="77777777" w:rsidR="00320296" w:rsidRPr="00DB4CBE" w:rsidRDefault="00320296" w:rsidP="006C37B0">
            <w:pPr>
              <w:spacing w:after="0" w:line="240" w:lineRule="auto"/>
              <w:jc w:val="both"/>
              <w:rPr>
                <w:rFonts w:ascii="Times New Roman" w:eastAsia="Calibri" w:hAnsi="Times New Roman" w:cs="Times New Roman"/>
                <w:b/>
                <w:sz w:val="24"/>
                <w:szCs w:val="24"/>
                <w:lang w:eastAsia="en-US"/>
              </w:rPr>
            </w:pPr>
            <w:r w:rsidRPr="00DB4CBE">
              <w:rPr>
                <w:rFonts w:ascii="Times New Roman" w:eastAsia="Calibri" w:hAnsi="Times New Roman" w:cs="Times New Roman"/>
                <w:b/>
                <w:sz w:val="24"/>
                <w:szCs w:val="24"/>
                <w:lang w:eastAsia="en-US"/>
              </w:rPr>
              <w:t>CRM</w:t>
            </w:r>
          </w:p>
        </w:tc>
        <w:tc>
          <w:tcPr>
            <w:tcW w:w="3675" w:type="pct"/>
            <w:tcMar>
              <w:top w:w="100" w:type="dxa"/>
              <w:left w:w="115" w:type="dxa"/>
              <w:bottom w:w="100" w:type="dxa"/>
              <w:right w:w="115" w:type="dxa"/>
            </w:tcMar>
          </w:tcPr>
          <w:p w14:paraId="28E14AD9"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w:t>
            </w:r>
            <w:r w:rsidRPr="00DB4CBE">
              <w:rPr>
                <w:rFonts w:ascii="Times New Roman" w:eastAsia="Calibri" w:hAnsi="Times New Roman" w:cs="Times New Roman"/>
                <w:sz w:val="24"/>
                <w:szCs w:val="24"/>
                <w:lang w:eastAsia="en-US"/>
              </w:rPr>
              <w:t>yšių su klientais valdymo sistema</w:t>
            </w:r>
          </w:p>
        </w:tc>
      </w:tr>
      <w:tr w:rsidR="00320296" w:rsidRPr="00DB4CBE" w14:paraId="49D72563" w14:textId="77777777" w:rsidTr="006C37B0">
        <w:tc>
          <w:tcPr>
            <w:tcW w:w="1325" w:type="pct"/>
            <w:tcMar>
              <w:top w:w="100" w:type="dxa"/>
              <w:left w:w="115" w:type="dxa"/>
              <w:bottom w:w="100" w:type="dxa"/>
              <w:right w:w="115" w:type="dxa"/>
            </w:tcMar>
          </w:tcPr>
          <w:p w14:paraId="57CA92CA" w14:textId="77777777" w:rsidR="00320296" w:rsidRPr="00DB4CBE" w:rsidRDefault="00320296" w:rsidP="006C37B0">
            <w:pPr>
              <w:spacing w:after="0" w:line="240" w:lineRule="auto"/>
              <w:jc w:val="both"/>
              <w:rPr>
                <w:rFonts w:ascii="Times New Roman" w:eastAsia="Calibri" w:hAnsi="Times New Roman" w:cs="Times New Roman"/>
                <w:b/>
                <w:sz w:val="24"/>
                <w:szCs w:val="24"/>
                <w:lang w:eastAsia="en-US"/>
              </w:rPr>
            </w:pPr>
            <w:r w:rsidRPr="00DB4CBE">
              <w:rPr>
                <w:rFonts w:ascii="Times New Roman" w:eastAsia="Calibri" w:hAnsi="Times New Roman" w:cs="Times New Roman"/>
                <w:b/>
                <w:sz w:val="24"/>
                <w:szCs w:val="24"/>
                <w:lang w:eastAsia="en-US"/>
              </w:rPr>
              <w:t>Sistema</w:t>
            </w:r>
          </w:p>
        </w:tc>
        <w:tc>
          <w:tcPr>
            <w:tcW w:w="3675" w:type="pct"/>
            <w:tcMar>
              <w:top w:w="100" w:type="dxa"/>
              <w:left w:w="115" w:type="dxa"/>
              <w:bottom w:w="100" w:type="dxa"/>
              <w:right w:w="115" w:type="dxa"/>
            </w:tcMar>
          </w:tcPr>
          <w:p w14:paraId="116E26E7"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w:t>
            </w:r>
            <w:r w:rsidRPr="00DB4CBE">
              <w:rPr>
                <w:rFonts w:ascii="Times New Roman" w:eastAsia="Calibri" w:hAnsi="Times New Roman" w:cs="Times New Roman"/>
                <w:sz w:val="24"/>
                <w:szCs w:val="24"/>
                <w:lang w:eastAsia="en-US"/>
              </w:rPr>
              <w:t xml:space="preserve">yšių su klientais valdymo sistema kartu su </w:t>
            </w:r>
            <w:r>
              <w:rPr>
                <w:rFonts w:ascii="Times New Roman" w:eastAsia="Calibri" w:hAnsi="Times New Roman" w:cs="Times New Roman"/>
                <w:sz w:val="24"/>
                <w:szCs w:val="24"/>
                <w:lang w:eastAsia="en-US"/>
              </w:rPr>
              <w:t xml:space="preserve">IT </w:t>
            </w:r>
            <w:r w:rsidRPr="00DB4CBE">
              <w:rPr>
                <w:rFonts w:ascii="Times New Roman" w:eastAsia="Calibri" w:hAnsi="Times New Roman" w:cs="Times New Roman"/>
                <w:sz w:val="24"/>
                <w:szCs w:val="24"/>
                <w:lang w:eastAsia="en-US"/>
              </w:rPr>
              <w:t xml:space="preserve">paslaugų valdymo moduliu (angl. – </w:t>
            </w:r>
            <w:proofErr w:type="spellStart"/>
            <w:r w:rsidRPr="00DB4CBE">
              <w:rPr>
                <w:rFonts w:ascii="Times New Roman" w:eastAsia="Calibri" w:hAnsi="Times New Roman" w:cs="Times New Roman"/>
                <w:sz w:val="24"/>
                <w:szCs w:val="24"/>
                <w:lang w:eastAsia="en-US"/>
              </w:rPr>
              <w:t>Helpdesk</w:t>
            </w:r>
            <w:proofErr w:type="spellEnd"/>
            <w:r w:rsidRPr="00DB4CBE">
              <w:rPr>
                <w:rFonts w:ascii="Times New Roman" w:eastAsia="Calibri" w:hAnsi="Times New Roman" w:cs="Times New Roman"/>
                <w:sz w:val="24"/>
                <w:szCs w:val="24"/>
                <w:lang w:eastAsia="en-US"/>
              </w:rPr>
              <w:t>) ir IP telefonijos modulis</w:t>
            </w:r>
          </w:p>
        </w:tc>
      </w:tr>
      <w:tr w:rsidR="00320296" w:rsidRPr="00DB4CBE" w14:paraId="7BFFD0CA" w14:textId="77777777" w:rsidTr="006C37B0">
        <w:tc>
          <w:tcPr>
            <w:tcW w:w="1325" w:type="pct"/>
            <w:tcMar>
              <w:top w:w="100" w:type="dxa"/>
              <w:left w:w="115" w:type="dxa"/>
              <w:bottom w:w="100" w:type="dxa"/>
              <w:right w:w="115" w:type="dxa"/>
            </w:tcMar>
          </w:tcPr>
          <w:p w14:paraId="5DC22D04" w14:textId="77777777" w:rsidR="00320296" w:rsidRPr="00DB4CBE" w:rsidRDefault="00320296" w:rsidP="006C37B0">
            <w:pPr>
              <w:spacing w:after="0" w:line="240" w:lineRule="auto"/>
              <w:jc w:val="both"/>
              <w:rPr>
                <w:rFonts w:ascii="Times New Roman" w:eastAsia="Calibri" w:hAnsi="Times New Roman" w:cs="Times New Roman"/>
                <w:b/>
                <w:sz w:val="24"/>
                <w:szCs w:val="24"/>
                <w:lang w:eastAsia="en-US"/>
              </w:rPr>
            </w:pPr>
            <w:r w:rsidRPr="00DB4CBE">
              <w:rPr>
                <w:rFonts w:ascii="Times New Roman" w:eastAsia="Calibri" w:hAnsi="Times New Roman" w:cs="Times New Roman"/>
                <w:b/>
                <w:sz w:val="24"/>
                <w:szCs w:val="24"/>
                <w:lang w:eastAsia="en-US"/>
              </w:rPr>
              <w:t>„</w:t>
            </w:r>
            <w:proofErr w:type="spellStart"/>
            <w:r w:rsidRPr="00DB4CBE">
              <w:rPr>
                <w:rFonts w:ascii="Times New Roman" w:eastAsia="Calibri" w:hAnsi="Times New Roman" w:cs="Times New Roman"/>
                <w:b/>
                <w:sz w:val="24"/>
                <w:szCs w:val="24"/>
                <w:lang w:eastAsia="en-US"/>
              </w:rPr>
              <w:t>Live</w:t>
            </w:r>
            <w:proofErr w:type="spellEnd"/>
            <w:r w:rsidRPr="00DB4CBE">
              <w:rPr>
                <w:rFonts w:ascii="Times New Roman" w:eastAsia="Calibri" w:hAnsi="Times New Roman" w:cs="Times New Roman"/>
                <w:b/>
                <w:sz w:val="24"/>
                <w:szCs w:val="24"/>
                <w:lang w:eastAsia="en-US"/>
              </w:rPr>
              <w:t>“ aplinka</w:t>
            </w:r>
          </w:p>
        </w:tc>
        <w:tc>
          <w:tcPr>
            <w:tcW w:w="3675" w:type="pct"/>
            <w:tcMar>
              <w:top w:w="100" w:type="dxa"/>
              <w:left w:w="115" w:type="dxa"/>
              <w:bottom w:w="100" w:type="dxa"/>
              <w:right w:w="115" w:type="dxa"/>
            </w:tcMar>
          </w:tcPr>
          <w:p w14:paraId="7D45DB6D"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Aplinka, kuri veikia realiu režimu ir galutiniai vartotojai atlieka veiksmus pagal numatytą paskirtį</w:t>
            </w:r>
          </w:p>
        </w:tc>
      </w:tr>
      <w:tr w:rsidR="00320296" w:rsidRPr="00DB4CBE" w14:paraId="6D4F1555" w14:textId="77777777" w:rsidTr="006C37B0">
        <w:tc>
          <w:tcPr>
            <w:tcW w:w="1325" w:type="pct"/>
            <w:tcMar>
              <w:top w:w="100" w:type="dxa"/>
              <w:left w:w="115" w:type="dxa"/>
              <w:bottom w:w="100" w:type="dxa"/>
              <w:right w:w="115" w:type="dxa"/>
            </w:tcMar>
          </w:tcPr>
          <w:p w14:paraId="1FF9E0AD" w14:textId="77777777" w:rsidR="00320296" w:rsidRPr="00DB4CBE" w:rsidRDefault="00320296" w:rsidP="006C37B0">
            <w:pPr>
              <w:spacing w:after="0" w:line="240" w:lineRule="auto"/>
              <w:jc w:val="both"/>
              <w:rPr>
                <w:rFonts w:ascii="Times New Roman" w:eastAsia="Calibri" w:hAnsi="Times New Roman" w:cs="Times New Roman"/>
                <w:b/>
                <w:sz w:val="24"/>
                <w:szCs w:val="24"/>
                <w:lang w:eastAsia="en-US"/>
              </w:rPr>
            </w:pPr>
            <w:proofErr w:type="spellStart"/>
            <w:r>
              <w:rPr>
                <w:rFonts w:ascii="Times New Roman" w:eastAsia="Calibri" w:hAnsi="Times New Roman" w:cs="Times New Roman"/>
                <w:b/>
                <w:sz w:val="24"/>
                <w:szCs w:val="24"/>
                <w:lang w:eastAsia="en-US"/>
              </w:rPr>
              <w:t>Redmine</w:t>
            </w:r>
            <w:proofErr w:type="spellEnd"/>
          </w:p>
        </w:tc>
        <w:tc>
          <w:tcPr>
            <w:tcW w:w="3675" w:type="pct"/>
            <w:tcMar>
              <w:top w:w="100" w:type="dxa"/>
              <w:left w:w="115" w:type="dxa"/>
              <w:bottom w:w="100" w:type="dxa"/>
              <w:right w:w="115" w:type="dxa"/>
            </w:tcMar>
          </w:tcPr>
          <w:p w14:paraId="502D1A19" w14:textId="77777777" w:rsidR="00320296" w:rsidRPr="00DB4CBE" w:rsidRDefault="00320296" w:rsidP="006C37B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Vilniaus miesto savivaldybės administracijos užduočių valdymo sistema</w:t>
            </w:r>
          </w:p>
        </w:tc>
      </w:tr>
    </w:tbl>
    <w:p w14:paraId="0DF25F6F" w14:textId="77777777" w:rsidR="00320296" w:rsidRPr="00DB4CBE" w:rsidRDefault="00320296" w:rsidP="00320296">
      <w:pPr>
        <w:numPr>
          <w:ilvl w:val="0"/>
          <w:numId w:val="1"/>
        </w:numPr>
        <w:spacing w:before="240" w:after="0" w:line="240" w:lineRule="auto"/>
        <w:ind w:left="0" w:firstLine="567"/>
        <w:jc w:val="center"/>
        <w:rPr>
          <w:rFonts w:ascii="Times New Roman" w:eastAsia="Calibri" w:hAnsi="Times New Roman" w:cs="Times New Roman"/>
          <w:b/>
          <w:bCs/>
          <w:sz w:val="24"/>
          <w:szCs w:val="24"/>
          <w:lang w:eastAsia="en-US"/>
        </w:rPr>
      </w:pPr>
      <w:r w:rsidRPr="00DB4CBE">
        <w:rPr>
          <w:rFonts w:ascii="Times New Roman" w:eastAsia="Calibri" w:hAnsi="Times New Roman" w:cs="Times New Roman"/>
          <w:b/>
          <w:bCs/>
          <w:sz w:val="24"/>
          <w:szCs w:val="24"/>
          <w:lang w:eastAsia="en-US"/>
        </w:rPr>
        <w:t>Pirkimo objektas</w:t>
      </w:r>
    </w:p>
    <w:p w14:paraId="2643DB0D" w14:textId="77777777" w:rsidR="00320296" w:rsidRPr="00DB4CBE" w:rsidRDefault="00320296" w:rsidP="00320296">
      <w:pPr>
        <w:numPr>
          <w:ilvl w:val="1"/>
          <w:numId w:val="1"/>
        </w:numPr>
        <w:spacing w:before="120" w:after="120" w:line="240" w:lineRule="auto"/>
        <w:ind w:left="0" w:firstLine="567"/>
        <w:contextualSpacing/>
        <w:jc w:val="both"/>
        <w:rPr>
          <w:rFonts w:ascii="Times New Roman" w:eastAsia="Times New Roman" w:hAnsi="Times New Roman" w:cs="Times New Roman"/>
          <w:sz w:val="24"/>
          <w:szCs w:val="24"/>
          <w:lang w:eastAsia="en-US"/>
        </w:rPr>
      </w:pPr>
      <w:r w:rsidRPr="00DB4CBE">
        <w:rPr>
          <w:rFonts w:ascii="Times New Roman" w:eastAsia="Times New Roman" w:hAnsi="Times New Roman" w:cs="Times New Roman"/>
          <w:sz w:val="24"/>
          <w:szCs w:val="24"/>
          <w:lang w:eastAsia="en-US"/>
        </w:rPr>
        <w:t xml:space="preserve">Pirkimo objektas </w:t>
      </w:r>
      <w:r>
        <w:rPr>
          <w:rFonts w:ascii="Times New Roman" w:eastAsia="Times New Roman" w:hAnsi="Times New Roman" w:cs="Times New Roman"/>
          <w:sz w:val="24"/>
          <w:szCs w:val="24"/>
          <w:lang w:eastAsia="en-US"/>
        </w:rPr>
        <w:t>–</w:t>
      </w:r>
      <w:r w:rsidRPr="00DB4CBE">
        <w:rPr>
          <w:rFonts w:ascii="Times New Roman" w:eastAsia="Times New Roman" w:hAnsi="Times New Roman" w:cs="Times New Roman"/>
          <w:sz w:val="24"/>
          <w:szCs w:val="24"/>
          <w:lang w:eastAsia="en-US"/>
        </w:rPr>
        <w:t xml:space="preserve"> Klientų valdymo (</w:t>
      </w:r>
      <w:proofErr w:type="spellStart"/>
      <w:r w:rsidRPr="00DB4CBE">
        <w:rPr>
          <w:rFonts w:ascii="Times New Roman" w:eastAsia="Times New Roman" w:hAnsi="Times New Roman" w:cs="Times New Roman"/>
          <w:sz w:val="24"/>
          <w:szCs w:val="24"/>
          <w:lang w:eastAsia="en-US"/>
        </w:rPr>
        <w:t>ang</w:t>
      </w:r>
      <w:proofErr w:type="spellEnd"/>
      <w:r w:rsidRPr="00DB4CBE">
        <w:rPr>
          <w:rFonts w:ascii="Times New Roman" w:eastAsia="Times New Roman" w:hAnsi="Times New Roman" w:cs="Times New Roman"/>
          <w:sz w:val="24"/>
          <w:szCs w:val="24"/>
          <w:lang w:eastAsia="en-US"/>
        </w:rPr>
        <w:t>. CRM) ir žinių bazės diegimo paslaugos (toliau – Paslaugos).</w:t>
      </w:r>
    </w:p>
    <w:p w14:paraId="14373E45" w14:textId="77777777" w:rsidR="00320296" w:rsidRDefault="00320296" w:rsidP="0032029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DB4CBE">
        <w:rPr>
          <w:rFonts w:ascii="Times New Roman" w:eastAsia="Times New Roman" w:hAnsi="Times New Roman" w:cs="Times New Roman"/>
          <w:sz w:val="24"/>
          <w:szCs w:val="24"/>
          <w:lang w:eastAsia="en-US"/>
        </w:rPr>
        <w:t>Paslaugos apima: Sistemos licencijas (jeigu jos yra reikalingos), sistemos konfigūravimo, diegimo, vystymo, palaikymo paslaugas bei žinių bazės licencijas (jeigu jos yra reikalingos), sistemos konfigūravimo, diegimo, vystymo, palaikymo paslaugos.</w:t>
      </w:r>
    </w:p>
    <w:p w14:paraId="265C878D" w14:textId="39CDFF42" w:rsidR="00320296" w:rsidRDefault="00320296" w:rsidP="00320296">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Sistemos konfigūravimo ir diegimo paslaugas apima techninės specifikacijos 6 skyrių. </w:t>
      </w:r>
    </w:p>
    <w:p w14:paraId="46C905B0" w14:textId="07FF1749" w:rsidR="00320296" w:rsidRPr="00C44E6B" w:rsidRDefault="00320296" w:rsidP="00320296">
      <w:pPr>
        <w:numPr>
          <w:ilvl w:val="2"/>
          <w:numId w:val="1"/>
        </w:numPr>
        <w:spacing w:after="0" w:line="240" w:lineRule="auto"/>
        <w:ind w:left="1276" w:hanging="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Vystymo ir palaikymo paslaugas apima techninės specifikacijos 7 skyrių.</w:t>
      </w:r>
    </w:p>
    <w:p w14:paraId="28EC0622" w14:textId="77777777" w:rsidR="00320296" w:rsidRPr="00DF2B64" w:rsidRDefault="00320296" w:rsidP="0032029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rPr>
        <w:t>Paslaugų t</w:t>
      </w:r>
      <w:r w:rsidRPr="00CE27A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i</w:t>
      </w:r>
      <w:r w:rsidRPr="00CE27A6">
        <w:rPr>
          <w:rFonts w:ascii="Times New Roman" w:hAnsi="Times New Roman" w:cs="Times New Roman"/>
          <w:color w:val="000000" w:themeColor="text1"/>
          <w:sz w:val="24"/>
          <w:szCs w:val="24"/>
        </w:rPr>
        <w:t xml:space="preserve">kėjas turi būti oficialus </w:t>
      </w:r>
      <w:r>
        <w:rPr>
          <w:rFonts w:ascii="Times New Roman" w:hAnsi="Times New Roman" w:cs="Times New Roman"/>
          <w:color w:val="000000" w:themeColor="text1"/>
          <w:sz w:val="24"/>
          <w:szCs w:val="24"/>
        </w:rPr>
        <w:t>Sistemos</w:t>
      </w:r>
      <w:r w:rsidRPr="00CE27A6">
        <w:rPr>
          <w:rFonts w:ascii="Times New Roman" w:hAnsi="Times New Roman" w:cs="Times New Roman"/>
          <w:color w:val="000000" w:themeColor="text1"/>
          <w:sz w:val="24"/>
          <w:szCs w:val="24"/>
        </w:rPr>
        <w:t xml:space="preserve"> gamintojo atstovas. Kartu su pasiūlymu turi būti pateikiamas </w:t>
      </w:r>
      <w:r>
        <w:rPr>
          <w:rFonts w:ascii="Times New Roman" w:hAnsi="Times New Roman" w:cs="Times New Roman"/>
          <w:color w:val="000000" w:themeColor="text1"/>
          <w:sz w:val="24"/>
          <w:szCs w:val="24"/>
        </w:rPr>
        <w:t>Sistemos</w:t>
      </w:r>
      <w:r w:rsidRPr="00CE27A6">
        <w:rPr>
          <w:rFonts w:ascii="Times New Roman" w:hAnsi="Times New Roman" w:cs="Times New Roman"/>
          <w:color w:val="000000" w:themeColor="text1"/>
          <w:sz w:val="24"/>
          <w:szCs w:val="24"/>
        </w:rPr>
        <w:t xml:space="preserve"> gamintojo raštas, patvirtinantis, kad </w:t>
      </w:r>
      <w:r>
        <w:rPr>
          <w:rFonts w:ascii="Times New Roman" w:hAnsi="Times New Roman" w:cs="Times New Roman"/>
          <w:color w:val="000000" w:themeColor="text1"/>
          <w:sz w:val="24"/>
          <w:szCs w:val="24"/>
        </w:rPr>
        <w:t xml:space="preserve">Paslaugų </w:t>
      </w:r>
      <w:r w:rsidRPr="00CE27A6">
        <w:rPr>
          <w:rFonts w:ascii="Times New Roman" w:hAnsi="Times New Roman" w:cs="Times New Roman"/>
          <w:color w:val="000000" w:themeColor="text1"/>
          <w:sz w:val="24"/>
          <w:szCs w:val="24"/>
        </w:rPr>
        <w:t>te</w:t>
      </w:r>
      <w:r>
        <w:rPr>
          <w:rFonts w:ascii="Times New Roman" w:hAnsi="Times New Roman" w:cs="Times New Roman"/>
          <w:color w:val="000000" w:themeColor="text1"/>
          <w:sz w:val="24"/>
          <w:szCs w:val="24"/>
        </w:rPr>
        <w:t>i</w:t>
      </w:r>
      <w:r w:rsidRPr="00CE27A6">
        <w:rPr>
          <w:rFonts w:ascii="Times New Roman" w:hAnsi="Times New Roman" w:cs="Times New Roman"/>
          <w:color w:val="000000" w:themeColor="text1"/>
          <w:sz w:val="24"/>
          <w:szCs w:val="24"/>
        </w:rPr>
        <w:t xml:space="preserve">kėjas yra oficialus gamintojo atstovas, arba </w:t>
      </w:r>
      <w:r>
        <w:rPr>
          <w:rFonts w:ascii="Times New Roman" w:hAnsi="Times New Roman" w:cs="Times New Roman"/>
          <w:color w:val="000000" w:themeColor="text1"/>
          <w:sz w:val="24"/>
          <w:szCs w:val="24"/>
        </w:rPr>
        <w:t xml:space="preserve">Paslaugų </w:t>
      </w:r>
      <w:r w:rsidRPr="00CE27A6">
        <w:rPr>
          <w:rFonts w:ascii="Times New Roman" w:hAnsi="Times New Roman" w:cs="Times New Roman"/>
          <w:color w:val="000000" w:themeColor="text1"/>
          <w:sz w:val="24"/>
          <w:szCs w:val="24"/>
        </w:rPr>
        <w:t>te</w:t>
      </w:r>
      <w:r>
        <w:rPr>
          <w:rFonts w:ascii="Times New Roman" w:hAnsi="Times New Roman" w:cs="Times New Roman"/>
          <w:color w:val="000000" w:themeColor="text1"/>
          <w:sz w:val="24"/>
          <w:szCs w:val="24"/>
        </w:rPr>
        <w:t>i</w:t>
      </w:r>
      <w:r w:rsidRPr="00CE27A6">
        <w:rPr>
          <w:rFonts w:ascii="Times New Roman" w:hAnsi="Times New Roman" w:cs="Times New Roman"/>
          <w:color w:val="000000" w:themeColor="text1"/>
          <w:sz w:val="24"/>
          <w:szCs w:val="24"/>
        </w:rPr>
        <w:t>kėjas, kaip oficialus gamintojo atstovas, turi būti nurodytas gamintojo internetiniame puslapyje.</w:t>
      </w:r>
    </w:p>
    <w:p w14:paraId="01B40DFD" w14:textId="77777777" w:rsidR="00320296" w:rsidRPr="00DB4CBE" w:rsidRDefault="00320296" w:rsidP="00320296">
      <w:pPr>
        <w:numPr>
          <w:ilvl w:val="0"/>
          <w:numId w:val="1"/>
        </w:numPr>
        <w:spacing w:before="240" w:after="0" w:line="240" w:lineRule="auto"/>
        <w:ind w:left="0" w:firstLine="567"/>
        <w:jc w:val="center"/>
        <w:rPr>
          <w:rFonts w:ascii="Times New Roman" w:eastAsia="Calibri" w:hAnsi="Times New Roman" w:cs="Times New Roman"/>
          <w:b/>
          <w:bCs/>
          <w:sz w:val="24"/>
          <w:szCs w:val="24"/>
          <w:lang w:eastAsia="en-US"/>
        </w:rPr>
      </w:pPr>
      <w:r w:rsidRPr="00DB4CBE">
        <w:rPr>
          <w:rFonts w:ascii="Times New Roman" w:eastAsia="Calibri" w:hAnsi="Times New Roman" w:cs="Times New Roman"/>
          <w:b/>
          <w:bCs/>
          <w:sz w:val="24"/>
          <w:szCs w:val="24"/>
          <w:lang w:eastAsia="en-US"/>
        </w:rPr>
        <w:t>Pirkimo objekto apimtys</w:t>
      </w:r>
    </w:p>
    <w:p w14:paraId="738948E5" w14:textId="77777777" w:rsidR="00320296" w:rsidRPr="00DB4CBE" w:rsidRDefault="00320296" w:rsidP="00320296">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Sistemos licencija turi galioti ne trumpiau kaip 36 mėn. nuo pirkimo sutarties </w:t>
      </w:r>
      <w:r>
        <w:rPr>
          <w:rFonts w:ascii="Times New Roman" w:eastAsia="Calibri" w:hAnsi="Times New Roman" w:cs="Times New Roman"/>
          <w:sz w:val="24"/>
          <w:szCs w:val="24"/>
          <w:lang w:eastAsia="en-US"/>
        </w:rPr>
        <w:t>įsigaliojimo</w:t>
      </w:r>
      <w:r w:rsidRPr="00DB4CBE">
        <w:rPr>
          <w:rFonts w:ascii="Times New Roman" w:eastAsia="Calibri" w:hAnsi="Times New Roman" w:cs="Times New Roman"/>
          <w:sz w:val="24"/>
          <w:szCs w:val="24"/>
          <w:lang w:eastAsia="en-US"/>
        </w:rPr>
        <w:t xml:space="preserve"> dienos.</w:t>
      </w:r>
    </w:p>
    <w:p w14:paraId="74BE7CEA" w14:textId="77777777" w:rsidR="00320296" w:rsidRPr="00DB4CBE" w:rsidRDefault="00320296" w:rsidP="00320296">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62CDCF92">
        <w:rPr>
          <w:rFonts w:ascii="Times New Roman" w:eastAsia="Calibri" w:hAnsi="Times New Roman" w:cs="Times New Roman"/>
          <w:sz w:val="24"/>
          <w:szCs w:val="24"/>
          <w:lang w:eastAsia="en-US"/>
        </w:rPr>
        <w:t>Sistemos konfigūravimo ir diegimo paslaugos – 1 vnt.</w:t>
      </w:r>
    </w:p>
    <w:p w14:paraId="4ACB1A5D" w14:textId="6200E13D" w:rsidR="00320296" w:rsidRPr="009D39C1" w:rsidRDefault="00320296" w:rsidP="0032029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D06EB">
        <w:rPr>
          <w:rFonts w:ascii="Times New Roman" w:eastAsia="Calibri" w:hAnsi="Times New Roman" w:cs="Times New Roman"/>
          <w:sz w:val="24"/>
          <w:szCs w:val="24"/>
          <w:lang w:eastAsia="en-US"/>
        </w:rPr>
        <w:t>Sistemos vystymo ir palaikymo paslaugų preliminari apimtis –  1000 val.</w:t>
      </w:r>
      <w:r w:rsidRPr="62CDCF92">
        <w:rPr>
          <w:rFonts w:ascii="Times New Roman" w:eastAsia="Calibri" w:hAnsi="Times New Roman" w:cs="Times New Roman"/>
          <w:sz w:val="24"/>
          <w:szCs w:val="24"/>
          <w:lang w:eastAsia="en-US"/>
        </w:rPr>
        <w:t>, Klientas s</w:t>
      </w:r>
      <w:r w:rsidRPr="62CDCF92">
        <w:rPr>
          <w:rFonts w:ascii="Times New Roman" w:eastAsia="Times New Roman" w:hAnsi="Times New Roman" w:cs="Times New Roman"/>
          <w:color w:val="000000" w:themeColor="text1"/>
          <w:sz w:val="24"/>
          <w:szCs w:val="24"/>
          <w:lang w:eastAsia="en-US"/>
        </w:rPr>
        <w:t xml:space="preserve">utarties galiojimo laikotarpiu neįsipareigoja įsigyti visos nurodytos preliminarios Paslaugų apimties, jos gali kisti (didėti/mažėti), Klientas </w:t>
      </w:r>
      <w:r w:rsidRPr="009D39C1">
        <w:rPr>
          <w:rFonts w:ascii="Times New Roman" w:eastAsia="Times New Roman" w:hAnsi="Times New Roman" w:cs="Times New Roman"/>
          <w:color w:val="000000" w:themeColor="text1"/>
          <w:sz w:val="24"/>
          <w:szCs w:val="24"/>
          <w:lang w:eastAsia="en-US"/>
        </w:rPr>
        <w:t xml:space="preserve">Paslaugas įsigys pagal faktinį savo poreikį, suderintą užsakymą bei terminus, neviršijant pirkimui skirtos lėšų sumos </w:t>
      </w:r>
      <w:r w:rsidR="0018188C" w:rsidRPr="009D39C1">
        <w:rPr>
          <w:rFonts w:ascii="Times New Roman" w:eastAsia="Times New Roman" w:hAnsi="Times New Roman" w:cs="Times New Roman"/>
          <w:color w:val="000000" w:themeColor="text1"/>
          <w:sz w:val="24"/>
          <w:szCs w:val="24"/>
          <w:lang w:eastAsia="en-US"/>
        </w:rPr>
        <w:t>100 000</w:t>
      </w:r>
      <w:r w:rsidRPr="009D39C1">
        <w:rPr>
          <w:rFonts w:ascii="Times New Roman" w:eastAsia="Times New Roman" w:hAnsi="Times New Roman" w:cs="Times New Roman"/>
          <w:color w:val="000000" w:themeColor="text1"/>
          <w:sz w:val="24"/>
          <w:szCs w:val="24"/>
          <w:lang w:eastAsia="en-US"/>
        </w:rPr>
        <w:t>,00 Eur įskaitant visus mokesčius.</w:t>
      </w:r>
    </w:p>
    <w:p w14:paraId="6CBF3747" w14:textId="1C565CE7" w:rsidR="0036149C" w:rsidRPr="009D39C1" w:rsidRDefault="0036149C">
      <w:pPr>
        <w:spacing w:after="160" w:line="278" w:lineRule="auto"/>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br w:type="page"/>
      </w:r>
    </w:p>
    <w:p w14:paraId="7EB8824B" w14:textId="77777777" w:rsidR="00320296" w:rsidRPr="009D39C1" w:rsidRDefault="00320296" w:rsidP="00320296">
      <w:pPr>
        <w:numPr>
          <w:ilvl w:val="0"/>
          <w:numId w:val="1"/>
        </w:numPr>
        <w:spacing w:before="240" w:after="240" w:line="240" w:lineRule="auto"/>
        <w:ind w:left="0" w:firstLine="567"/>
        <w:contextualSpacing/>
        <w:jc w:val="center"/>
        <w:rPr>
          <w:rFonts w:ascii="Times New Roman" w:eastAsia="Calibri" w:hAnsi="Times New Roman" w:cs="Times New Roman"/>
          <w:b/>
          <w:bCs/>
          <w:sz w:val="24"/>
          <w:szCs w:val="24"/>
          <w:lang w:eastAsia="en-US"/>
        </w:rPr>
      </w:pPr>
      <w:r w:rsidRPr="009D39C1">
        <w:rPr>
          <w:rFonts w:ascii="Times New Roman" w:eastAsia="Calibri" w:hAnsi="Times New Roman" w:cs="Times New Roman"/>
          <w:b/>
          <w:bCs/>
          <w:sz w:val="24"/>
          <w:szCs w:val="24"/>
          <w:lang w:eastAsia="en-US"/>
        </w:rPr>
        <w:lastRenderedPageBreak/>
        <w:t>Informacija apie sistemos vartotojus</w:t>
      </w:r>
    </w:p>
    <w:p w14:paraId="076B7FD8" w14:textId="77777777" w:rsidR="00320296" w:rsidRPr="009D39C1" w:rsidRDefault="00320296" w:rsidP="00320296">
      <w:pPr>
        <w:numPr>
          <w:ilvl w:val="1"/>
          <w:numId w:val="1"/>
        </w:numPr>
        <w:spacing w:before="240" w:after="24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Vartotojų skaičius:</w:t>
      </w:r>
    </w:p>
    <w:p w14:paraId="42143A0A" w14:textId="77777777" w:rsidR="00320296" w:rsidRPr="009D39C1" w:rsidRDefault="00320296" w:rsidP="00320296">
      <w:pPr>
        <w:numPr>
          <w:ilvl w:val="2"/>
          <w:numId w:val="1"/>
        </w:numPr>
        <w:spacing w:before="240" w:after="24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 xml:space="preserve"> Skambučių centro specialistai – 15;</w:t>
      </w:r>
    </w:p>
    <w:p w14:paraId="1D0370CB" w14:textId="77777777" w:rsidR="00320296" w:rsidRPr="009D39C1" w:rsidRDefault="00320296" w:rsidP="00320296">
      <w:pPr>
        <w:numPr>
          <w:ilvl w:val="2"/>
          <w:numId w:val="1"/>
        </w:numPr>
        <w:spacing w:before="240" w:after="240" w:line="240" w:lineRule="auto"/>
        <w:ind w:left="0" w:firstLine="567"/>
        <w:contextualSpacing/>
        <w:jc w:val="both"/>
        <w:rPr>
          <w:rFonts w:ascii="Times New Roman" w:eastAsia="Times New Roman" w:hAnsi="Times New Roman" w:cs="Times New Roman"/>
          <w:sz w:val="24"/>
          <w:szCs w:val="24"/>
          <w:lang w:eastAsia="en-US"/>
        </w:rPr>
      </w:pPr>
      <w:r w:rsidRPr="009D39C1">
        <w:rPr>
          <w:rFonts w:ascii="Times New Roman" w:eastAsia="Calibri" w:hAnsi="Times New Roman" w:cs="Times New Roman"/>
          <w:sz w:val="24"/>
          <w:szCs w:val="24"/>
          <w:lang w:eastAsia="en-US"/>
        </w:rPr>
        <w:t xml:space="preserve"> IT pagalbos tarnybos specialistai – 25;</w:t>
      </w:r>
    </w:p>
    <w:p w14:paraId="280AE973" w14:textId="77777777" w:rsidR="00320296" w:rsidRPr="009D39C1" w:rsidRDefault="00320296" w:rsidP="00320296">
      <w:pPr>
        <w:numPr>
          <w:ilvl w:val="2"/>
          <w:numId w:val="1"/>
        </w:numPr>
        <w:spacing w:before="240" w:after="24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 xml:space="preserve"> Žinių bazės administratoriai – 30;</w:t>
      </w:r>
    </w:p>
    <w:p w14:paraId="45AAA21D" w14:textId="77777777" w:rsidR="00320296" w:rsidRPr="009D39C1" w:rsidRDefault="00320296" w:rsidP="00320296">
      <w:pPr>
        <w:numPr>
          <w:ilvl w:val="2"/>
          <w:numId w:val="1"/>
        </w:numPr>
        <w:spacing w:before="240" w:after="240" w:line="240" w:lineRule="auto"/>
        <w:ind w:left="0" w:firstLine="567"/>
        <w:contextualSpacing/>
        <w:jc w:val="both"/>
        <w:rPr>
          <w:rFonts w:ascii="Times New Roman" w:eastAsia="Times New Roman" w:hAnsi="Times New Roman" w:cs="Times New Roman"/>
          <w:sz w:val="24"/>
          <w:szCs w:val="24"/>
          <w:lang w:eastAsia="en-US"/>
        </w:rPr>
      </w:pPr>
      <w:r w:rsidRPr="009D39C1">
        <w:rPr>
          <w:rFonts w:ascii="Times New Roman" w:eastAsia="Calibri" w:hAnsi="Times New Roman" w:cs="Times New Roman"/>
          <w:sz w:val="24"/>
          <w:szCs w:val="24"/>
          <w:lang w:eastAsia="en-US"/>
        </w:rPr>
        <w:t xml:space="preserve"> Klientų aptarnavimo specialistai – 40;</w:t>
      </w:r>
    </w:p>
    <w:p w14:paraId="3E1A1B5C" w14:textId="77777777" w:rsidR="00320296" w:rsidRPr="009D39C1" w:rsidRDefault="00320296" w:rsidP="00320296">
      <w:pPr>
        <w:numPr>
          <w:ilvl w:val="2"/>
          <w:numId w:val="1"/>
        </w:numPr>
        <w:spacing w:before="240" w:after="240" w:line="240" w:lineRule="auto"/>
        <w:ind w:left="0" w:firstLine="567"/>
        <w:contextualSpacing/>
        <w:jc w:val="both"/>
        <w:rPr>
          <w:rFonts w:ascii="Times New Roman" w:eastAsia="Times New Roman" w:hAnsi="Times New Roman" w:cs="Times New Roman"/>
          <w:sz w:val="24"/>
          <w:szCs w:val="24"/>
          <w:lang w:eastAsia="en-US"/>
        </w:rPr>
      </w:pPr>
      <w:r w:rsidRPr="009D39C1">
        <w:rPr>
          <w:rFonts w:ascii="Times New Roman" w:eastAsia="Calibri" w:hAnsi="Times New Roman" w:cs="Times New Roman"/>
          <w:sz w:val="24"/>
          <w:szCs w:val="24"/>
          <w:lang w:eastAsia="en-US"/>
        </w:rPr>
        <w:t xml:space="preserve"> Paslaugas teikiantys specialistai – 100.</w:t>
      </w:r>
    </w:p>
    <w:p w14:paraId="71A4AE9A" w14:textId="77777777" w:rsidR="003F6B06" w:rsidRPr="009D39C1" w:rsidRDefault="003F6B06" w:rsidP="003F6B06">
      <w:pPr>
        <w:spacing w:before="240" w:after="240" w:line="240" w:lineRule="auto"/>
        <w:contextualSpacing/>
        <w:jc w:val="both"/>
        <w:rPr>
          <w:rFonts w:ascii="Times New Roman" w:eastAsia="Times New Roman" w:hAnsi="Times New Roman" w:cs="Times New Roman"/>
          <w:sz w:val="24"/>
          <w:szCs w:val="24"/>
          <w:lang w:eastAsia="en-US"/>
        </w:rPr>
      </w:pPr>
    </w:p>
    <w:p w14:paraId="0A9876AF" w14:textId="77777777" w:rsidR="00320296" w:rsidRPr="009D39C1" w:rsidRDefault="00320296" w:rsidP="00320296">
      <w:pPr>
        <w:numPr>
          <w:ilvl w:val="0"/>
          <w:numId w:val="1"/>
        </w:numPr>
        <w:spacing w:before="240" w:after="0" w:line="240" w:lineRule="auto"/>
        <w:ind w:left="0" w:firstLine="567"/>
        <w:jc w:val="center"/>
        <w:rPr>
          <w:rFonts w:ascii="Times New Roman" w:eastAsia="Calibri" w:hAnsi="Times New Roman" w:cs="Times New Roman"/>
          <w:b/>
          <w:bCs/>
          <w:sz w:val="24"/>
          <w:szCs w:val="24"/>
          <w:lang w:eastAsia="en-US"/>
        </w:rPr>
      </w:pPr>
      <w:r w:rsidRPr="009D39C1">
        <w:rPr>
          <w:rFonts w:ascii="Times New Roman" w:eastAsia="Calibri" w:hAnsi="Times New Roman" w:cs="Times New Roman"/>
          <w:b/>
          <w:bCs/>
          <w:sz w:val="24"/>
          <w:szCs w:val="24"/>
          <w:lang w:eastAsia="en-US"/>
        </w:rPr>
        <w:t>Paslaugų suteikimo trukmė</w:t>
      </w:r>
    </w:p>
    <w:p w14:paraId="160DDE62" w14:textId="77777777" w:rsidR="00320296" w:rsidRPr="009D39C1" w:rsidRDefault="00320296" w:rsidP="00320296">
      <w:pPr>
        <w:numPr>
          <w:ilvl w:val="1"/>
          <w:numId w:val="1"/>
        </w:numPr>
        <w:spacing w:after="0" w:line="240" w:lineRule="auto"/>
        <w:ind w:left="0" w:firstLine="567"/>
        <w:contextualSpacing/>
        <w:jc w:val="both"/>
        <w:rPr>
          <w:rFonts w:ascii="Times New Roman" w:eastAsia="Times New Roman" w:hAnsi="Times New Roman" w:cs="Times New Roman"/>
          <w:sz w:val="24"/>
          <w:szCs w:val="24"/>
          <w:u w:val="single"/>
        </w:rPr>
      </w:pPr>
      <w:r w:rsidRPr="009D39C1">
        <w:rPr>
          <w:rFonts w:ascii="Times New Roman" w:eastAsia="Calibri" w:hAnsi="Times New Roman" w:cs="Times New Roman"/>
          <w:sz w:val="24"/>
          <w:szCs w:val="24"/>
          <w:lang w:eastAsia="en-US"/>
        </w:rPr>
        <w:t>Sistemos konfigūravimo ir diegimo paslaugos (į šį terminą įskaičiuojamas laikas, per kurį Klientas peržiūri bei testuoja tarpinius Sistemos diegimo ir konfigūravimo paslaugų rezultatus ir atlieka bandomąją eksploataciją) turi būti atliktos</w:t>
      </w:r>
      <w:r w:rsidRPr="009D39C1">
        <w:rPr>
          <w:rFonts w:ascii="Times New Roman" w:eastAsia="Times New Roman" w:hAnsi="Times New Roman" w:cs="Times New Roman"/>
          <w:sz w:val="24"/>
          <w:szCs w:val="24"/>
          <w:lang w:eastAsia="en-US"/>
        </w:rPr>
        <w:t xml:space="preserve"> nė vėliau kaip per 6 (šešis) mėn. nuo pirkimo sutarties įsigaliojimo dienos. </w:t>
      </w:r>
      <w:r w:rsidRPr="009D39C1">
        <w:rPr>
          <w:rFonts w:ascii="Times New Roman" w:eastAsia="Times New Roman" w:hAnsi="Times New Roman" w:cs="Times New Roman"/>
          <w:sz w:val="24"/>
          <w:szCs w:val="24"/>
          <w:u w:val="single"/>
        </w:rPr>
        <w:t>Sistemos konfigūravimo ir diegimo paslaugos taip pat apima ir vartotojų apmokymus.</w:t>
      </w:r>
    </w:p>
    <w:p w14:paraId="2D192208" w14:textId="77777777" w:rsidR="00320296" w:rsidRPr="009D39C1" w:rsidRDefault="00320296" w:rsidP="0032029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D39C1">
        <w:rPr>
          <w:rFonts w:ascii="Times New Roman" w:eastAsia="Calibri" w:hAnsi="Times New Roman" w:cs="Times New Roman"/>
          <w:sz w:val="24"/>
          <w:szCs w:val="24"/>
          <w:lang w:eastAsia="en-US"/>
        </w:rPr>
        <w:t xml:space="preserve">Sistemos vystymo ir palaikymo paslaugos pradedamos vykdyti iškarto po sistemos konfigūravimo ir diegimo paslaugų etapo, bet ne ilgiau nei sudaroma Pirkimo sutarties trukmė –  </w:t>
      </w:r>
      <w:r w:rsidRPr="009D39C1">
        <w:rPr>
          <w:rFonts w:ascii="Times New Roman" w:eastAsia="Times New Roman" w:hAnsi="Times New Roman" w:cs="Times New Roman"/>
          <w:color w:val="000000" w:themeColor="text1"/>
          <w:sz w:val="24"/>
          <w:szCs w:val="24"/>
          <w:lang w:eastAsia="en-US"/>
        </w:rPr>
        <w:t>36 mėn.</w:t>
      </w:r>
      <w:r w:rsidRPr="009D39C1">
        <w:rPr>
          <w:rFonts w:ascii="Times New Roman" w:eastAsia="Calibri" w:hAnsi="Times New Roman" w:cs="Times New Roman"/>
          <w:sz w:val="24"/>
          <w:szCs w:val="24"/>
          <w:lang w:eastAsia="en-US"/>
        </w:rPr>
        <w:t xml:space="preserve"> nuo sutarties įsigaliojimo datos. </w:t>
      </w:r>
    </w:p>
    <w:p w14:paraId="383B4ADF" w14:textId="77777777" w:rsidR="00320296" w:rsidRPr="009D39C1" w:rsidRDefault="00320296" w:rsidP="00320296">
      <w:pPr>
        <w:spacing w:after="0" w:line="240" w:lineRule="auto"/>
        <w:ind w:firstLine="567"/>
        <w:jc w:val="both"/>
        <w:rPr>
          <w:rFonts w:ascii="Times New Roman" w:eastAsia="Calibri" w:hAnsi="Times New Roman" w:cs="Times New Roman"/>
          <w:sz w:val="24"/>
          <w:szCs w:val="24"/>
          <w:lang w:eastAsia="en-US"/>
        </w:rPr>
      </w:pPr>
    </w:p>
    <w:p w14:paraId="6C3526DF" w14:textId="77777777" w:rsidR="00320296" w:rsidRPr="009D39C1" w:rsidRDefault="00320296" w:rsidP="00320296">
      <w:pPr>
        <w:numPr>
          <w:ilvl w:val="0"/>
          <w:numId w:val="1"/>
        </w:numPr>
        <w:tabs>
          <w:tab w:val="left" w:pos="0"/>
          <w:tab w:val="left" w:pos="469"/>
          <w:tab w:val="left" w:pos="708"/>
          <w:tab w:val="left" w:pos="741"/>
          <w:tab w:val="left" w:pos="1451"/>
        </w:tabs>
        <w:spacing w:before="240" w:after="240" w:line="240" w:lineRule="auto"/>
        <w:jc w:val="center"/>
        <w:rPr>
          <w:rFonts w:ascii="Times New Roman" w:eastAsia="Calibri" w:hAnsi="Times New Roman" w:cs="Times New Roman"/>
          <w:b/>
          <w:bCs/>
          <w:sz w:val="24"/>
          <w:szCs w:val="24"/>
          <w:lang w:eastAsia="en-US"/>
        </w:rPr>
      </w:pPr>
      <w:r w:rsidRPr="009D39C1">
        <w:rPr>
          <w:rFonts w:ascii="Times New Roman" w:eastAsia="Calibri" w:hAnsi="Times New Roman" w:cs="Times New Roman"/>
          <w:b/>
          <w:bCs/>
          <w:sz w:val="24"/>
          <w:szCs w:val="24"/>
          <w:lang w:eastAsia="en-US"/>
        </w:rPr>
        <w:t>Reikalavimai sistemos vystymo ir palaikymo paslaugoms</w:t>
      </w:r>
    </w:p>
    <w:p w14:paraId="4E212BE0" w14:textId="77777777" w:rsidR="00320296" w:rsidRPr="009D39C1" w:rsidRDefault="00320296" w:rsidP="00320296">
      <w:pPr>
        <w:numPr>
          <w:ilvl w:val="2"/>
          <w:numId w:val="1"/>
        </w:numPr>
        <w:tabs>
          <w:tab w:val="left" w:pos="0"/>
          <w:tab w:val="left" w:pos="469"/>
          <w:tab w:val="left" w:pos="708"/>
          <w:tab w:val="left" w:pos="741"/>
          <w:tab w:val="left" w:pos="1451"/>
        </w:tabs>
        <w:spacing w:before="120" w:after="0" w:line="240" w:lineRule="auto"/>
        <w:ind w:left="0" w:firstLine="567"/>
        <w:jc w:val="both"/>
        <w:rPr>
          <w:rFonts w:ascii="Times New Roman" w:eastAsia="Calibri" w:hAnsi="Times New Roman" w:cs="Times New Roman"/>
          <w:b/>
          <w:bCs/>
          <w:sz w:val="24"/>
          <w:szCs w:val="24"/>
          <w:lang w:eastAsia="en-US"/>
        </w:rPr>
      </w:pPr>
      <w:r w:rsidRPr="009D39C1">
        <w:rPr>
          <w:rFonts w:ascii="Times New Roman" w:eastAsia="Calibri" w:hAnsi="Times New Roman" w:cs="Times New Roman"/>
          <w:b/>
          <w:bCs/>
          <w:sz w:val="24"/>
          <w:szCs w:val="24"/>
          <w:lang w:eastAsia="en-US"/>
        </w:rPr>
        <w:t>Sistemos palaikymo paslaugos</w:t>
      </w:r>
    </w:p>
    <w:p w14:paraId="699D1BBF" w14:textId="77777777" w:rsidR="00320296" w:rsidRPr="009D39C1" w:rsidRDefault="00320296" w:rsidP="00320296">
      <w:pPr>
        <w:numPr>
          <w:ilvl w:val="3"/>
          <w:numId w:val="2"/>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 xml:space="preserve">Sistemos palaikymo paslaugos teikiamos visos Sutarties galiojimo metu pagal Kliento pranešimus apie technines Sistemos darbo problemas / sutrikimus. </w:t>
      </w:r>
    </w:p>
    <w:p w14:paraId="4B3E5364" w14:textId="77777777" w:rsidR="00320296" w:rsidRPr="009D39C1" w:rsidRDefault="00320296" w:rsidP="00320296">
      <w:pPr>
        <w:numPr>
          <w:ilvl w:val="3"/>
          <w:numId w:val="2"/>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Siekiant užtikrinti kokybišką projekto valdymą, teikiant Sistemos palaikymo paslaugas turi būti naudojama Kliento pasirinkta „</w:t>
      </w:r>
      <w:proofErr w:type="spellStart"/>
      <w:r w:rsidRPr="009D39C1">
        <w:rPr>
          <w:rFonts w:ascii="Times New Roman" w:eastAsia="Calibri" w:hAnsi="Times New Roman" w:cs="Times New Roman"/>
          <w:sz w:val="24"/>
          <w:szCs w:val="24"/>
          <w:lang w:eastAsia="en-US"/>
        </w:rPr>
        <w:t>Redmine</w:t>
      </w:r>
      <w:proofErr w:type="spellEnd"/>
      <w:r w:rsidRPr="009D39C1">
        <w:rPr>
          <w:rFonts w:ascii="Times New Roman" w:eastAsia="Calibri" w:hAnsi="Times New Roman" w:cs="Times New Roman"/>
          <w:sz w:val="24"/>
          <w:szCs w:val="24"/>
          <w:lang w:eastAsia="en-US"/>
        </w:rPr>
        <w:t>“ užduočių valdymo sistema.</w:t>
      </w:r>
    </w:p>
    <w:p w14:paraId="3111F779" w14:textId="77777777" w:rsidR="00320296" w:rsidRPr="009D39C1" w:rsidRDefault="00320296" w:rsidP="00320296">
      <w:pPr>
        <w:numPr>
          <w:ilvl w:val="3"/>
          <w:numId w:val="2"/>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Pranešimus apie technines Sistemos darbo problemas / sutrikimus Kliento įgalioti atstovai pateikia Paslaugų teikėjui per „</w:t>
      </w:r>
      <w:proofErr w:type="spellStart"/>
      <w:r w:rsidRPr="009D39C1">
        <w:rPr>
          <w:rFonts w:ascii="Times New Roman" w:eastAsia="Calibri" w:hAnsi="Times New Roman" w:cs="Times New Roman"/>
          <w:sz w:val="24"/>
          <w:szCs w:val="24"/>
          <w:lang w:eastAsia="en-US"/>
        </w:rPr>
        <w:t>Redmine</w:t>
      </w:r>
      <w:proofErr w:type="spellEnd"/>
      <w:r w:rsidRPr="009D39C1">
        <w:rPr>
          <w:rFonts w:ascii="Times New Roman" w:eastAsia="Calibri" w:hAnsi="Times New Roman" w:cs="Times New Roman"/>
          <w:sz w:val="24"/>
          <w:szCs w:val="24"/>
          <w:lang w:eastAsia="en-US"/>
        </w:rPr>
        <w:t>“ užduočių valdymo sistemą. Užregistruotu incidentu taip pat laikomas ir kitokia rašytine forma Paslaugų teikėjui pateiktas pranešimas dėl problemos / sutrikimo.</w:t>
      </w:r>
    </w:p>
    <w:p w14:paraId="194FB620" w14:textId="77777777" w:rsidR="00320296" w:rsidRPr="009D39C1" w:rsidRDefault="00320296" w:rsidP="00320296">
      <w:pPr>
        <w:numPr>
          <w:ilvl w:val="3"/>
          <w:numId w:val="2"/>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Sistemos darbo problema / sutrikimas laikomas pašalintu, kai Kliento įgaliotas atstovas raštiškai patvirtina, kad Sistemos darbo problemos / sutrikimo nėra.</w:t>
      </w:r>
    </w:p>
    <w:p w14:paraId="220AA2F3" w14:textId="77777777" w:rsidR="00320296" w:rsidRPr="009D39C1" w:rsidRDefault="00320296" w:rsidP="00320296">
      <w:pPr>
        <w:numPr>
          <w:ilvl w:val="3"/>
          <w:numId w:val="2"/>
        </w:numPr>
        <w:tabs>
          <w:tab w:val="left" w:pos="0"/>
          <w:tab w:val="left" w:pos="469"/>
          <w:tab w:val="left" w:pos="708"/>
          <w:tab w:val="left" w:pos="741"/>
          <w:tab w:val="left" w:pos="1451"/>
        </w:tabs>
        <w:spacing w:before="120" w:after="240" w:line="240" w:lineRule="auto"/>
        <w:ind w:left="0" w:firstLine="567"/>
        <w:contextualSpacing/>
        <w:jc w:val="both"/>
        <w:rPr>
          <w:rFonts w:ascii="Times New Roman" w:eastAsia="Calibri" w:hAnsi="Times New Roman" w:cs="Times New Roman"/>
          <w:sz w:val="24"/>
          <w:szCs w:val="24"/>
          <w:lang w:eastAsia="en-US"/>
        </w:rPr>
      </w:pPr>
      <w:r w:rsidRPr="009D39C1">
        <w:rPr>
          <w:rFonts w:ascii="Times New Roman" w:eastAsia="Calibri" w:hAnsi="Times New Roman" w:cs="Times New Roman"/>
          <w:sz w:val="24"/>
          <w:szCs w:val="24"/>
          <w:lang w:eastAsia="en-US"/>
        </w:rPr>
        <w:t>klientas klasifikuoja poreikius pagal žemiau lentelėje pateiktas rekomendacijas. Kiekvieno atvejo rimtumą nustato Kliento atstovas ir Paslaugų teikėjo darbuotojas, gavęs pranešimą apie klaidą ar kitą pageidavimą. Be Kliento pritarimo negalima keisti Kliento nurodyto statuso.</w:t>
      </w:r>
    </w:p>
    <w:tbl>
      <w:tblPr>
        <w:tblStyle w:val="2paprastojilentel1"/>
        <w:tblW w:w="9468" w:type="dxa"/>
        <w:tblInd w:w="-5" w:type="dxa"/>
        <w:tblLayout w:type="fixed"/>
        <w:tblLook w:val="0000" w:firstRow="0" w:lastRow="0" w:firstColumn="0" w:lastColumn="0" w:noHBand="0" w:noVBand="0"/>
      </w:tblPr>
      <w:tblGrid>
        <w:gridCol w:w="2552"/>
        <w:gridCol w:w="850"/>
        <w:gridCol w:w="6066"/>
      </w:tblGrid>
      <w:tr w:rsidR="00320296" w:rsidRPr="009D39C1" w14:paraId="00CD0CEE" w14:textId="77777777" w:rsidTr="006C37B0">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tcPr>
          <w:p w14:paraId="0D19F608" w14:textId="77777777" w:rsidR="00320296" w:rsidRPr="009D39C1" w:rsidRDefault="00320296" w:rsidP="006C37B0">
            <w:pPr>
              <w:spacing w:before="100" w:beforeAutospacing="1" w:after="100" w:afterAutospacing="1"/>
              <w:ind w:firstLine="567"/>
              <w:jc w:val="both"/>
              <w:rPr>
                <w:rFonts w:ascii="Times New Roman" w:hAnsi="Times New Roman" w:cs="Times New Roman"/>
                <w:lang w:val="lt-LT"/>
              </w:rPr>
            </w:pPr>
            <w:r w:rsidRPr="009D39C1">
              <w:rPr>
                <w:rFonts w:ascii="Times New Roman" w:hAnsi="Times New Roman" w:cs="Times New Roman"/>
                <w:b/>
                <w:bCs/>
                <w:color w:val="000000"/>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shd w:val="clear" w:color="auto" w:fill="D0CECE"/>
          </w:tcPr>
          <w:p w14:paraId="38005BC3" w14:textId="77777777" w:rsidR="00320296" w:rsidRPr="009D39C1" w:rsidRDefault="00320296" w:rsidP="006C37B0">
            <w:pPr>
              <w:spacing w:before="100" w:beforeAutospacing="1" w:after="100" w:afterAutospacing="1"/>
              <w:ind w:firstLine="567"/>
              <w:jc w:val="both"/>
              <w:rPr>
                <w:rFonts w:ascii="Times New Roman" w:hAnsi="Times New Roman" w:cs="Times New Roman"/>
                <w:lang w:val="lt-LT"/>
              </w:rPr>
            </w:pPr>
            <w:r w:rsidRPr="009D39C1">
              <w:rPr>
                <w:rFonts w:ascii="Times New Roman" w:hAnsi="Times New Roman" w:cs="Times New Roman"/>
                <w:b/>
                <w:bCs/>
                <w:color w:val="000000"/>
                <w:lang w:val="lt-LT"/>
              </w:rPr>
              <w:t>Apibrėžimas</w:t>
            </w:r>
          </w:p>
        </w:tc>
      </w:tr>
      <w:tr w:rsidR="00320296" w:rsidRPr="009D39C1" w14:paraId="02C892C2" w14:textId="77777777" w:rsidTr="006C37B0">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5575A5B4" w14:textId="77777777" w:rsidR="00320296" w:rsidRPr="009D39C1" w:rsidRDefault="00320296" w:rsidP="006C37B0">
            <w:pPr>
              <w:spacing w:before="100" w:beforeAutospacing="1" w:after="100" w:afterAutospacing="1"/>
              <w:ind w:firstLine="567"/>
              <w:jc w:val="both"/>
              <w:rPr>
                <w:rFonts w:ascii="Times New Roman" w:hAnsi="Times New Roman" w:cs="Times New Roman"/>
                <w:b/>
                <w:bCs/>
                <w:lang w:val="lt-LT"/>
              </w:rPr>
            </w:pPr>
            <w:r w:rsidRPr="009D39C1">
              <w:rPr>
                <w:rFonts w:ascii="Times New Roman" w:hAnsi="Times New Roman" w:cs="Times New Roman"/>
                <w:b/>
                <w:bCs/>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1D62E0C8" w14:textId="77777777" w:rsidR="00320296" w:rsidRPr="009D39C1" w:rsidRDefault="00320296" w:rsidP="006C37B0">
            <w:pPr>
              <w:spacing w:before="100" w:beforeAutospacing="1" w:after="100" w:afterAutospacing="1"/>
              <w:jc w:val="both"/>
              <w:rPr>
                <w:rFonts w:ascii="Times New Roman" w:hAnsi="Times New Roman" w:cs="Times New Roman"/>
                <w:b/>
                <w:lang w:val="lt-LT"/>
              </w:rPr>
            </w:pPr>
            <w:r w:rsidRPr="009D39C1">
              <w:rPr>
                <w:rFonts w:ascii="Times New Roman" w:hAnsi="Times New Roman" w:cs="Times New Roman"/>
                <w:b/>
                <w:lang w:val="lt-LT"/>
              </w:rPr>
              <w:t>Lygis</w:t>
            </w:r>
          </w:p>
        </w:tc>
        <w:tc>
          <w:tcPr>
            <w:cnfStyle w:val="000010000000" w:firstRow="0" w:lastRow="0" w:firstColumn="0" w:lastColumn="0" w:oddVBand="1" w:evenVBand="0" w:oddHBand="0" w:evenHBand="0" w:firstRowFirstColumn="0" w:firstRowLastColumn="0" w:lastRowFirstColumn="0" w:lastRowLastColumn="0"/>
            <w:tcW w:w="6066" w:type="dxa"/>
            <w:shd w:val="clear" w:color="auto" w:fill="F2F2F2"/>
          </w:tcPr>
          <w:p w14:paraId="7556174B" w14:textId="77777777" w:rsidR="00320296" w:rsidRPr="009D39C1" w:rsidRDefault="00320296" w:rsidP="006C37B0">
            <w:pPr>
              <w:spacing w:before="100" w:beforeAutospacing="1" w:after="100" w:afterAutospacing="1"/>
              <w:ind w:firstLine="567"/>
              <w:jc w:val="both"/>
              <w:rPr>
                <w:rFonts w:ascii="Times New Roman" w:hAnsi="Times New Roman" w:cs="Times New Roman"/>
                <w:b/>
                <w:bCs/>
                <w:lang w:val="lt-LT"/>
              </w:rPr>
            </w:pPr>
          </w:p>
        </w:tc>
      </w:tr>
      <w:tr w:rsidR="00320296" w:rsidRPr="009D39C1" w14:paraId="3A4DE20B" w14:textId="77777777" w:rsidTr="006C37B0">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63B2CF5A" w14:textId="77777777" w:rsidR="00320296" w:rsidRPr="009D39C1" w:rsidRDefault="00320296" w:rsidP="006C37B0">
            <w:pPr>
              <w:jc w:val="both"/>
              <w:rPr>
                <w:rFonts w:ascii="Times New Roman" w:hAnsi="Times New Roman" w:cs="Times New Roman"/>
                <w:lang w:val="lt-LT"/>
              </w:rPr>
            </w:pPr>
            <w:r w:rsidRPr="009D39C1">
              <w:rPr>
                <w:rFonts w:ascii="Times New Roman" w:hAnsi="Times New Roman" w:cs="Times New Roman"/>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5DC99659" w14:textId="77777777" w:rsidR="00320296" w:rsidRPr="009D39C1" w:rsidRDefault="00320296" w:rsidP="006C37B0">
            <w:pPr>
              <w:ind w:firstLine="90"/>
              <w:rPr>
                <w:rFonts w:ascii="Times New Roman" w:hAnsi="Times New Roman" w:cs="Times New Roman"/>
                <w:lang w:val="lt-LT"/>
              </w:rPr>
            </w:pPr>
            <w:r w:rsidRPr="009D39C1">
              <w:rPr>
                <w:rFonts w:ascii="Times New Roman" w:hAnsi="Times New Roman" w:cs="Times New Roman"/>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999BF55" w14:textId="77777777" w:rsidR="00320296" w:rsidRPr="009D39C1" w:rsidRDefault="00320296" w:rsidP="006C37B0">
            <w:pPr>
              <w:jc w:val="both"/>
              <w:rPr>
                <w:rFonts w:ascii="Times New Roman" w:hAnsi="Times New Roman" w:cs="Times New Roman"/>
                <w:lang w:val="lt-LT"/>
              </w:rPr>
            </w:pPr>
            <w:r w:rsidRPr="009D39C1">
              <w:rPr>
                <w:rFonts w:ascii="Times New Roman" w:hAnsi="Times New Roman" w:cs="Times New Roman"/>
                <w:lang w:val="lt-LT"/>
              </w:rPr>
              <w:t xml:space="preserve">Sistema arba jos funkcija neveikia arba praktiškai neveikia. Situacija turi svarbų poveikį Kliento veiklos operacijoms ir našumui. Nėra klaidos kompensuojamųjų veiksmų. </w:t>
            </w:r>
          </w:p>
        </w:tc>
      </w:tr>
      <w:tr w:rsidR="00320296" w:rsidRPr="008D1DF2" w14:paraId="2FC4ADEA" w14:textId="77777777" w:rsidTr="006C37B0">
        <w:tc>
          <w:tcPr>
            <w:cnfStyle w:val="000010000000" w:firstRow="0" w:lastRow="0" w:firstColumn="0" w:lastColumn="0" w:oddVBand="1" w:evenVBand="0" w:oddHBand="0" w:evenHBand="0" w:firstRowFirstColumn="0" w:firstRowLastColumn="0" w:lastRowFirstColumn="0" w:lastRowLastColumn="0"/>
            <w:tcW w:w="2552" w:type="dxa"/>
            <w:vAlign w:val="center"/>
          </w:tcPr>
          <w:p w14:paraId="58E58262" w14:textId="77777777" w:rsidR="00320296" w:rsidRPr="009D39C1" w:rsidRDefault="00320296" w:rsidP="006C37B0">
            <w:pPr>
              <w:jc w:val="both"/>
              <w:rPr>
                <w:rFonts w:ascii="Times New Roman" w:hAnsi="Times New Roman" w:cs="Times New Roman"/>
                <w:lang w:val="lt-LT"/>
              </w:rPr>
            </w:pPr>
            <w:r w:rsidRPr="009D39C1">
              <w:rPr>
                <w:rFonts w:ascii="Times New Roman" w:hAnsi="Times New Roman" w:cs="Times New Roman"/>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77C7C0E4" w14:textId="77777777" w:rsidR="00320296" w:rsidRPr="009D39C1" w:rsidRDefault="00320296" w:rsidP="006C37B0">
            <w:pPr>
              <w:ind w:firstLine="90"/>
              <w:rPr>
                <w:rFonts w:ascii="Times New Roman" w:hAnsi="Times New Roman" w:cs="Times New Roman"/>
                <w:lang w:val="lt-LT"/>
              </w:rPr>
            </w:pPr>
            <w:r w:rsidRPr="009D39C1">
              <w:rPr>
                <w:rFonts w:ascii="Times New Roman" w:hAnsi="Times New Roman" w:cs="Times New Roman"/>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53FDC1F" w14:textId="77777777" w:rsidR="00320296" w:rsidRPr="009D39C1" w:rsidRDefault="00320296" w:rsidP="006C37B0">
            <w:pPr>
              <w:jc w:val="both"/>
              <w:rPr>
                <w:rFonts w:ascii="Times New Roman" w:hAnsi="Times New Roman" w:cs="Times New Roman"/>
                <w:lang w:val="lt-LT"/>
              </w:rPr>
            </w:pPr>
            <w:r w:rsidRPr="009D39C1">
              <w:rPr>
                <w:rFonts w:ascii="Times New Roman" w:hAnsi="Times New Roman" w:cs="Times New Roman"/>
                <w:lang w:val="lt-LT"/>
              </w:rPr>
              <w:t xml:space="preserve">Kliento Sistemos arba jos funkcijos veikimas yra apribotas. Nėra klaidos kompensuojamųjų veiksmų arba klaidos kompensuojami veiksmai daro neigiamą įtaką Kliento veiklos operacijoms ir našumui. </w:t>
            </w:r>
          </w:p>
          <w:p w14:paraId="3DEC5D50" w14:textId="77777777" w:rsidR="00320296" w:rsidRPr="008D1DF2" w:rsidRDefault="00320296" w:rsidP="006C37B0">
            <w:pPr>
              <w:jc w:val="both"/>
              <w:rPr>
                <w:rFonts w:ascii="Times New Roman" w:hAnsi="Times New Roman" w:cs="Times New Roman"/>
                <w:lang w:val="lt-LT"/>
              </w:rPr>
            </w:pPr>
            <w:r w:rsidRPr="009D39C1">
              <w:rPr>
                <w:rFonts w:ascii="Times New Roman" w:hAnsi="Times New Roman" w:cs="Times New Roman"/>
                <w:lang w:val="lt-LT"/>
              </w:rPr>
              <w:t>(Sistemos darbas pertrauktas, bet atkurtas; didelė pakartotinio gedimo rizika)</w:t>
            </w:r>
          </w:p>
        </w:tc>
      </w:tr>
      <w:tr w:rsidR="00320296" w:rsidRPr="008D1DF2" w14:paraId="2C0E1D4B" w14:textId="77777777" w:rsidTr="006C37B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2750BA68"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lang w:val="lt-LT"/>
              </w:rPr>
              <w:lastRenderedPageBreak/>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5F0BFDCC" w14:textId="77777777" w:rsidR="00320296" w:rsidRPr="008D1DF2" w:rsidRDefault="00320296" w:rsidP="006C37B0">
            <w:pPr>
              <w:ind w:firstLine="90"/>
              <w:rPr>
                <w:rFonts w:ascii="Times New Roman" w:hAnsi="Times New Roman" w:cs="Times New Roman"/>
                <w:lang w:val="lt-LT"/>
              </w:rPr>
            </w:pPr>
            <w:r w:rsidRPr="008D1DF2">
              <w:rPr>
                <w:rFonts w:ascii="Times New Roman" w:hAnsi="Times New Roman" w:cs="Times New Roman"/>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6A146907"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lang w:val="lt-LT"/>
              </w:rPr>
              <w:t>Yra klaida, bet yra ir kompensuojamieji veiksmai. Minimalus poveikis verslo veiklai; lokalizuotas arba izoliuotas poveikis; nedideli veiklos nepatogumai; dokumentacijos klaidos.</w:t>
            </w:r>
          </w:p>
        </w:tc>
      </w:tr>
      <w:tr w:rsidR="00320296" w:rsidRPr="008D1DF2" w14:paraId="3BC918E5" w14:textId="77777777" w:rsidTr="006C37B0">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486815E" w14:textId="77777777" w:rsidR="00320296" w:rsidRPr="008D1DF2" w:rsidRDefault="00320296" w:rsidP="006C37B0">
            <w:pPr>
              <w:rPr>
                <w:rFonts w:ascii="Times New Roman" w:hAnsi="Times New Roman" w:cs="Times New Roman"/>
                <w:lang w:val="lt-LT"/>
              </w:rPr>
            </w:pPr>
            <w:r w:rsidRPr="008D1DF2">
              <w:rPr>
                <w:rFonts w:ascii="Times New Roman" w:hAnsi="Times New Roman" w:cs="Times New Roman"/>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71DB2B1" w14:textId="77777777" w:rsidR="00320296" w:rsidRPr="008D1DF2" w:rsidRDefault="00320296" w:rsidP="006C37B0">
            <w:pPr>
              <w:ind w:firstLine="90"/>
              <w:rPr>
                <w:rFonts w:ascii="Times New Roman" w:hAnsi="Times New Roman" w:cs="Times New Roman"/>
                <w:lang w:val="lt-LT"/>
              </w:rPr>
            </w:pPr>
            <w:r w:rsidRPr="008D1DF2">
              <w:rPr>
                <w:rFonts w:ascii="Times New Roman" w:hAnsi="Times New Roman" w:cs="Times New Roman"/>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395CE4FA"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lang w:val="lt-LT"/>
              </w:rPr>
              <w:t>Užklausimas dėl Sistemos papildomo funkcionalumo įgyvendinimo galimybių (iki 8 val. apimties).</w:t>
            </w:r>
          </w:p>
        </w:tc>
      </w:tr>
      <w:tr w:rsidR="00320296" w:rsidRPr="008D1DF2" w14:paraId="0E4726BE" w14:textId="77777777" w:rsidTr="006C37B0">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2CCCED5F"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CBB29BB" w14:textId="77777777" w:rsidR="00320296" w:rsidRPr="008D1DF2" w:rsidRDefault="00320296" w:rsidP="006C37B0">
            <w:pPr>
              <w:ind w:firstLine="90"/>
              <w:rPr>
                <w:rFonts w:ascii="Times New Roman" w:hAnsi="Times New Roman" w:cs="Times New Roman"/>
                <w:lang w:val="lt-LT"/>
              </w:rPr>
            </w:pPr>
            <w:r w:rsidRPr="008D1DF2">
              <w:rPr>
                <w:rFonts w:ascii="Times New Roman" w:hAnsi="Times New Roman" w:cs="Times New Roman"/>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33CCB11"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lang w:val="lt-LT"/>
              </w:rPr>
              <w:t>Bendri klausimai; reikalinga informacija apie Sistemos veikimą, jos panaudojimą ir pan.</w:t>
            </w:r>
          </w:p>
        </w:tc>
      </w:tr>
      <w:tr w:rsidR="00320296" w:rsidRPr="008D1DF2" w14:paraId="03417C74" w14:textId="77777777" w:rsidTr="006C37B0">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5AA5F926"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lang w:val="lt-LT"/>
              </w:rPr>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C541480" w14:textId="77777777" w:rsidR="00320296" w:rsidRPr="008D1DF2" w:rsidRDefault="00320296" w:rsidP="006C37B0">
            <w:pPr>
              <w:ind w:firstLine="90"/>
              <w:rPr>
                <w:rFonts w:ascii="Times New Roman" w:hAnsi="Times New Roman" w:cs="Times New Roman"/>
                <w:lang w:val="lt-LT"/>
              </w:rPr>
            </w:pPr>
            <w:r w:rsidRPr="008D1DF2">
              <w:rPr>
                <w:rFonts w:ascii="Times New Roman" w:hAnsi="Times New Roman" w:cs="Times New Roman"/>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30A34958" w14:textId="77777777" w:rsidR="00320296" w:rsidRPr="008D1DF2" w:rsidRDefault="00320296" w:rsidP="006C37B0">
            <w:pPr>
              <w:jc w:val="both"/>
              <w:rPr>
                <w:rFonts w:ascii="Times New Roman" w:hAnsi="Times New Roman" w:cs="Times New Roman"/>
                <w:lang w:val="lt-LT"/>
              </w:rPr>
            </w:pPr>
            <w:r w:rsidRPr="008D1DF2">
              <w:rPr>
                <w:rFonts w:ascii="Times New Roman" w:hAnsi="Times New Roman" w:cs="Times New Roman"/>
                <w:bCs/>
                <w:lang w:val="lt-LT"/>
              </w:rPr>
              <w:t>Papildomų paslaugų reikalingų Sistemos veikimui užsakymas iš trečiųjų šalių, informacijos užklausimas iš trečiųjų šaliu ir pan.</w:t>
            </w:r>
          </w:p>
        </w:tc>
      </w:tr>
    </w:tbl>
    <w:p w14:paraId="02502C8F" w14:textId="77777777" w:rsidR="00320296" w:rsidRPr="00DB4CBE" w:rsidRDefault="00320296" w:rsidP="00320296">
      <w:pPr>
        <w:numPr>
          <w:ilvl w:val="3"/>
          <w:numId w:val="3"/>
        </w:numPr>
        <w:tabs>
          <w:tab w:val="left" w:pos="0"/>
          <w:tab w:val="left" w:pos="469"/>
          <w:tab w:val="left" w:pos="708"/>
          <w:tab w:val="left" w:pos="741"/>
          <w:tab w:val="left" w:pos="1451"/>
        </w:tabs>
        <w:spacing w:before="240" w:after="12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Pagrindinės darbo valandos yra 8:00-17:00 nuo pirmadienio iki penktadienio, išskyrus valstybines šventes ir kitas oficialiai paskelbtas nedarbo dienas. Neesminės klaidos, Smulkaus patobulinimo užklausimai ir prašymai dėl Konsultacijų sprendžiami</w:t>
      </w:r>
      <w:r>
        <w:rPr>
          <w:rFonts w:ascii="Times New Roman" w:eastAsia="Calibri" w:hAnsi="Times New Roman" w:cs="Times New Roman"/>
          <w:sz w:val="24"/>
          <w:szCs w:val="24"/>
          <w:lang w:eastAsia="en-US"/>
        </w:rPr>
        <w:t xml:space="preserve"> tik </w:t>
      </w:r>
      <w:r w:rsidRPr="00DB4CBE">
        <w:rPr>
          <w:rFonts w:ascii="Times New Roman" w:eastAsia="Calibri" w:hAnsi="Times New Roman" w:cs="Times New Roman"/>
          <w:sz w:val="24"/>
          <w:szCs w:val="24"/>
          <w:lang w:eastAsia="en-US"/>
        </w:rPr>
        <w:t xml:space="preserve">8:00-17:00 nuo pirmadienio iki penktadienio. Kritinės ir rimtos klaidos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pageidavimu ir raštišku prašymu (pateiktu per </w:t>
      </w:r>
      <w:r w:rsidRPr="008D1DF2">
        <w:rPr>
          <w:rFonts w:ascii="Times New Roman" w:eastAsia="Calibri" w:hAnsi="Times New Roman" w:cs="Times New Roman"/>
          <w:sz w:val="24"/>
          <w:szCs w:val="24"/>
          <w:lang w:eastAsia="en-US"/>
        </w:rPr>
        <w:t>„</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sistemą)</w:t>
      </w:r>
      <w:r w:rsidRPr="00DB4CBE">
        <w:rPr>
          <w:rFonts w:ascii="Times New Roman" w:eastAsia="Calibri" w:hAnsi="Times New Roman" w:cs="Times New Roman"/>
          <w:sz w:val="24"/>
          <w:szCs w:val="24"/>
          <w:lang w:eastAsia="en-US"/>
        </w:rPr>
        <w:t xml:space="preserve"> gali būti sprendžiamos nedarbo laiku</w:t>
      </w:r>
      <w:r>
        <w:rPr>
          <w:rFonts w:ascii="Times New Roman" w:eastAsia="Calibri" w:hAnsi="Times New Roman" w:cs="Times New Roman"/>
          <w:sz w:val="24"/>
          <w:szCs w:val="24"/>
          <w:lang w:eastAsia="en-US"/>
        </w:rPr>
        <w:t>.</w:t>
      </w:r>
      <w:r w:rsidRPr="00DB4CBE">
        <w:rPr>
          <w:rFonts w:ascii="Times New Roman" w:eastAsia="Calibri" w:hAnsi="Times New Roman" w:cs="Times New Roman"/>
          <w:sz w:val="24"/>
          <w:szCs w:val="24"/>
          <w:lang w:eastAsia="en-US"/>
        </w:rPr>
        <w:t xml:space="preserve"> </w:t>
      </w:r>
    </w:p>
    <w:p w14:paraId="58CA2931" w14:textId="77777777" w:rsidR="00320296" w:rsidRDefault="00320296" w:rsidP="00320296">
      <w:pPr>
        <w:numPr>
          <w:ilvl w:val="3"/>
          <w:numId w:val="3"/>
        </w:numPr>
        <w:tabs>
          <w:tab w:val="left" w:pos="0"/>
          <w:tab w:val="left" w:pos="469"/>
          <w:tab w:val="left" w:pos="708"/>
          <w:tab w:val="left" w:pos="741"/>
          <w:tab w:val="left" w:pos="1451"/>
        </w:tabs>
        <w:spacing w:after="24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teikėjo</w:t>
      </w:r>
      <w:r w:rsidRPr="00DB4CBE">
        <w:rPr>
          <w:rFonts w:ascii="Times New Roman" w:eastAsia="Calibri" w:hAnsi="Times New Roman" w:cs="Times New Roman"/>
          <w:sz w:val="24"/>
          <w:szCs w:val="24"/>
          <w:lang w:eastAsia="en-US"/>
        </w:rPr>
        <w:t xml:space="preserve"> darbuotojas pradeda dirbti su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atstovu ir spręsti problemą per lentelėje nurodytą laiką, kai </w:t>
      </w:r>
      <w:r>
        <w:rPr>
          <w:rFonts w:ascii="Times New Roman" w:eastAsia="Calibri" w:hAnsi="Times New Roman" w:cs="Times New Roman"/>
          <w:sz w:val="24"/>
          <w:szCs w:val="24"/>
          <w:lang w:eastAsia="en-US"/>
        </w:rPr>
        <w:t>Paslaugų t</w:t>
      </w:r>
      <w:r w:rsidRPr="00DB4CBE">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i</w:t>
      </w:r>
      <w:r w:rsidRPr="00DB4CBE">
        <w:rPr>
          <w:rFonts w:ascii="Times New Roman" w:eastAsia="Calibri" w:hAnsi="Times New Roman" w:cs="Times New Roman"/>
          <w:sz w:val="24"/>
          <w:szCs w:val="24"/>
          <w:lang w:eastAsia="en-US"/>
        </w:rPr>
        <w:t xml:space="preserve">kėjo darbuotojas gauna pranešimą apie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oreikį (su sąlyga, kad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laikėsi 6.7.1.3 punkto nuostatų). </w:t>
      </w:r>
    </w:p>
    <w:tbl>
      <w:tblPr>
        <w:tblStyle w:val="Lentelstinklelis4"/>
        <w:tblW w:w="9498" w:type="dxa"/>
        <w:tblLook w:val="00A0" w:firstRow="1" w:lastRow="0" w:firstColumn="1" w:lastColumn="0" w:noHBand="0" w:noVBand="0"/>
      </w:tblPr>
      <w:tblGrid>
        <w:gridCol w:w="3099"/>
        <w:gridCol w:w="1732"/>
        <w:gridCol w:w="1968"/>
        <w:gridCol w:w="2699"/>
      </w:tblGrid>
      <w:tr w:rsidR="00320296" w:rsidRPr="00F622E4" w14:paraId="1BC1F0C1" w14:textId="77777777" w:rsidTr="006C37B0">
        <w:tc>
          <w:tcPr>
            <w:tcW w:w="3099" w:type="dxa"/>
            <w:shd w:val="clear" w:color="auto" w:fill="D0CECE"/>
          </w:tcPr>
          <w:p w14:paraId="5E9B12F6" w14:textId="77777777" w:rsidR="00320296" w:rsidRPr="00DB4CBE" w:rsidRDefault="00320296" w:rsidP="006C37B0">
            <w:pPr>
              <w:spacing w:before="120"/>
              <w:ind w:firstLine="567"/>
              <w:rPr>
                <w:rFonts w:ascii="Times New Roman" w:hAnsi="Times New Roman" w:cs="Times New Roman"/>
                <w:lang w:val="lt-LT"/>
              </w:rPr>
            </w:pPr>
            <w:r w:rsidRPr="00DB4CBE">
              <w:rPr>
                <w:rFonts w:ascii="Times New Roman" w:hAnsi="Times New Roman" w:cs="Times New Roman"/>
                <w:b/>
                <w:bCs/>
                <w:color w:val="000000"/>
                <w:lang w:val="lt-LT"/>
              </w:rPr>
              <w:t>Rimtumas</w:t>
            </w:r>
          </w:p>
        </w:tc>
        <w:tc>
          <w:tcPr>
            <w:tcW w:w="1732" w:type="dxa"/>
            <w:shd w:val="clear" w:color="auto" w:fill="D0CECE"/>
            <w:vAlign w:val="center"/>
          </w:tcPr>
          <w:p w14:paraId="7E335B94"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b/>
                <w:color w:val="000000"/>
                <w:lang w:val="lt-LT"/>
              </w:rPr>
              <w:t>Prioritetas</w:t>
            </w:r>
          </w:p>
        </w:tc>
        <w:tc>
          <w:tcPr>
            <w:tcW w:w="1968" w:type="dxa"/>
            <w:shd w:val="clear" w:color="auto" w:fill="D0CECE"/>
          </w:tcPr>
          <w:p w14:paraId="134D3268" w14:textId="77777777" w:rsidR="00320296" w:rsidRPr="00DB4CBE" w:rsidRDefault="00320296" w:rsidP="006C37B0">
            <w:pPr>
              <w:spacing w:before="120"/>
              <w:rPr>
                <w:rFonts w:ascii="Times New Roman" w:hAnsi="Times New Roman" w:cs="Times New Roman"/>
                <w:b/>
                <w:color w:val="000000"/>
                <w:lang w:val="lt-LT"/>
              </w:rPr>
            </w:pPr>
            <w:r w:rsidRPr="00DB4CBE">
              <w:rPr>
                <w:rFonts w:ascii="Times New Roman" w:hAnsi="Times New Roman" w:cs="Times New Roman"/>
                <w:b/>
                <w:color w:val="000000"/>
                <w:lang w:val="lt-LT"/>
              </w:rPr>
              <w:t>Maksimalus reagavimo laikas</w:t>
            </w:r>
          </w:p>
        </w:tc>
        <w:tc>
          <w:tcPr>
            <w:tcW w:w="2699" w:type="dxa"/>
            <w:shd w:val="clear" w:color="auto" w:fill="D0CECE"/>
          </w:tcPr>
          <w:p w14:paraId="13937A27"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b/>
                <w:color w:val="000000"/>
                <w:lang w:val="lt-LT"/>
              </w:rPr>
              <w:t>Maksimalus sprendimo laikas nuo patvirtinimo</w:t>
            </w:r>
          </w:p>
        </w:tc>
      </w:tr>
      <w:tr w:rsidR="00320296" w:rsidRPr="00DB4CBE" w14:paraId="179DF7E7" w14:textId="77777777" w:rsidTr="006C37B0">
        <w:tc>
          <w:tcPr>
            <w:tcW w:w="3099" w:type="dxa"/>
          </w:tcPr>
          <w:p w14:paraId="7A3DD3A2"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color w:val="000000"/>
                <w:lang w:val="lt-LT"/>
              </w:rPr>
              <w:t>Kritinė klaida</w:t>
            </w:r>
          </w:p>
        </w:tc>
        <w:tc>
          <w:tcPr>
            <w:tcW w:w="1732" w:type="dxa"/>
          </w:tcPr>
          <w:p w14:paraId="30ECDE8C"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Nedelsiant</w:t>
            </w:r>
          </w:p>
        </w:tc>
        <w:tc>
          <w:tcPr>
            <w:tcW w:w="1968" w:type="dxa"/>
          </w:tcPr>
          <w:p w14:paraId="0A225B88"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1 darbo valanda</w:t>
            </w:r>
          </w:p>
        </w:tc>
        <w:tc>
          <w:tcPr>
            <w:tcW w:w="2699" w:type="dxa"/>
          </w:tcPr>
          <w:p w14:paraId="631E2C7F"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4 darbo valandos</w:t>
            </w:r>
          </w:p>
        </w:tc>
      </w:tr>
      <w:tr w:rsidR="00320296" w:rsidRPr="00DB4CBE" w14:paraId="5DAE3AD1" w14:textId="77777777" w:rsidTr="006C37B0">
        <w:tc>
          <w:tcPr>
            <w:tcW w:w="3099" w:type="dxa"/>
          </w:tcPr>
          <w:p w14:paraId="223C24BF"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color w:val="000000"/>
                <w:lang w:val="lt-LT"/>
              </w:rPr>
              <w:t>Rimta klaida</w:t>
            </w:r>
          </w:p>
        </w:tc>
        <w:tc>
          <w:tcPr>
            <w:tcW w:w="1732" w:type="dxa"/>
          </w:tcPr>
          <w:p w14:paraId="785A8654"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Skubus</w:t>
            </w:r>
          </w:p>
        </w:tc>
        <w:tc>
          <w:tcPr>
            <w:tcW w:w="1968" w:type="dxa"/>
          </w:tcPr>
          <w:p w14:paraId="43E047A4"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2 darbo valandos</w:t>
            </w:r>
          </w:p>
        </w:tc>
        <w:tc>
          <w:tcPr>
            <w:tcW w:w="2699" w:type="dxa"/>
          </w:tcPr>
          <w:p w14:paraId="0E2933A0"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8 darbo valandos</w:t>
            </w:r>
          </w:p>
        </w:tc>
      </w:tr>
      <w:tr w:rsidR="00320296" w:rsidRPr="00DB4CBE" w14:paraId="5C235138" w14:textId="77777777" w:rsidTr="006C37B0">
        <w:tc>
          <w:tcPr>
            <w:tcW w:w="3099" w:type="dxa"/>
          </w:tcPr>
          <w:p w14:paraId="00135EE3"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color w:val="000000"/>
                <w:lang w:val="lt-LT"/>
              </w:rPr>
              <w:t>Neesminė klaida</w:t>
            </w:r>
          </w:p>
        </w:tc>
        <w:tc>
          <w:tcPr>
            <w:tcW w:w="1732" w:type="dxa"/>
          </w:tcPr>
          <w:p w14:paraId="022BE0B8"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Aukštas</w:t>
            </w:r>
          </w:p>
        </w:tc>
        <w:tc>
          <w:tcPr>
            <w:tcW w:w="1968" w:type="dxa"/>
          </w:tcPr>
          <w:p w14:paraId="68589370"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8 darbo valandos</w:t>
            </w:r>
          </w:p>
        </w:tc>
        <w:tc>
          <w:tcPr>
            <w:tcW w:w="2699" w:type="dxa"/>
          </w:tcPr>
          <w:p w14:paraId="291D17B5"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3 darbo dienos</w:t>
            </w:r>
          </w:p>
        </w:tc>
      </w:tr>
      <w:tr w:rsidR="00320296" w:rsidRPr="00DB4CBE" w14:paraId="798A02CE" w14:textId="77777777" w:rsidTr="006C37B0">
        <w:tc>
          <w:tcPr>
            <w:tcW w:w="3099" w:type="dxa"/>
          </w:tcPr>
          <w:p w14:paraId="51EFC2B6"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Smulkaus patobulinimo užklausimas</w:t>
            </w:r>
          </w:p>
        </w:tc>
        <w:tc>
          <w:tcPr>
            <w:tcW w:w="1732" w:type="dxa"/>
          </w:tcPr>
          <w:p w14:paraId="760D9322"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Vidutinis</w:t>
            </w:r>
          </w:p>
        </w:tc>
        <w:tc>
          <w:tcPr>
            <w:tcW w:w="1968" w:type="dxa"/>
          </w:tcPr>
          <w:p w14:paraId="01D28973"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3 darbo dienos</w:t>
            </w:r>
          </w:p>
        </w:tc>
        <w:tc>
          <w:tcPr>
            <w:tcW w:w="2699" w:type="dxa"/>
          </w:tcPr>
          <w:p w14:paraId="04EFAB44"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 xml:space="preserve">Pagal susitarimą </w:t>
            </w:r>
          </w:p>
        </w:tc>
      </w:tr>
      <w:tr w:rsidR="00320296" w:rsidRPr="00DB4CBE" w14:paraId="51258DD3" w14:textId="77777777" w:rsidTr="006C37B0">
        <w:tc>
          <w:tcPr>
            <w:tcW w:w="3099" w:type="dxa"/>
          </w:tcPr>
          <w:p w14:paraId="3E9A8506"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Konsultacijų poreikis</w:t>
            </w:r>
          </w:p>
        </w:tc>
        <w:tc>
          <w:tcPr>
            <w:tcW w:w="1732" w:type="dxa"/>
          </w:tcPr>
          <w:p w14:paraId="48EE0CF9"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Vidutinis</w:t>
            </w:r>
          </w:p>
        </w:tc>
        <w:tc>
          <w:tcPr>
            <w:tcW w:w="1968" w:type="dxa"/>
          </w:tcPr>
          <w:p w14:paraId="6F748578"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1 darbo diena</w:t>
            </w:r>
          </w:p>
        </w:tc>
        <w:tc>
          <w:tcPr>
            <w:tcW w:w="2699" w:type="dxa"/>
          </w:tcPr>
          <w:p w14:paraId="643144B4"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3 darbo dienos</w:t>
            </w:r>
          </w:p>
        </w:tc>
      </w:tr>
      <w:tr w:rsidR="00320296" w:rsidRPr="00DB4CBE" w14:paraId="54AA7A64" w14:textId="77777777" w:rsidTr="006C37B0">
        <w:tc>
          <w:tcPr>
            <w:tcW w:w="3099" w:type="dxa"/>
          </w:tcPr>
          <w:p w14:paraId="28BEA8BA"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Kita</w:t>
            </w:r>
          </w:p>
        </w:tc>
        <w:tc>
          <w:tcPr>
            <w:tcW w:w="1732" w:type="dxa"/>
          </w:tcPr>
          <w:p w14:paraId="355BAF94"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Žemas</w:t>
            </w:r>
          </w:p>
        </w:tc>
        <w:tc>
          <w:tcPr>
            <w:tcW w:w="1968" w:type="dxa"/>
          </w:tcPr>
          <w:p w14:paraId="196B8999" w14:textId="77777777" w:rsidR="00320296" w:rsidRPr="00DB4CBE" w:rsidRDefault="00320296" w:rsidP="006C37B0">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4 darbo dienos</w:t>
            </w:r>
          </w:p>
        </w:tc>
        <w:tc>
          <w:tcPr>
            <w:tcW w:w="2699" w:type="dxa"/>
          </w:tcPr>
          <w:p w14:paraId="4D8A7B56" w14:textId="77777777" w:rsidR="00320296" w:rsidRPr="00DB4CBE" w:rsidRDefault="00320296" w:rsidP="006C37B0">
            <w:pPr>
              <w:spacing w:before="120"/>
              <w:rPr>
                <w:rFonts w:ascii="Times New Roman" w:hAnsi="Times New Roman" w:cs="Times New Roman"/>
                <w:lang w:val="lt-LT"/>
              </w:rPr>
            </w:pPr>
            <w:r w:rsidRPr="00DB4CBE">
              <w:rPr>
                <w:rFonts w:ascii="Times New Roman" w:hAnsi="Times New Roman" w:cs="Times New Roman"/>
                <w:lang w:val="lt-LT"/>
              </w:rPr>
              <w:t>7 darbo dienos</w:t>
            </w:r>
          </w:p>
        </w:tc>
      </w:tr>
    </w:tbl>
    <w:p w14:paraId="2B263A9A" w14:textId="77777777" w:rsidR="00320296" w:rsidRPr="00DB4CBE" w:rsidRDefault="00320296" w:rsidP="00320296">
      <w:pPr>
        <w:numPr>
          <w:ilvl w:val="3"/>
          <w:numId w:val="4"/>
        </w:numPr>
        <w:tabs>
          <w:tab w:val="left" w:pos="0"/>
          <w:tab w:val="left" w:pos="469"/>
          <w:tab w:val="left" w:pos="708"/>
          <w:tab w:val="left" w:pos="741"/>
          <w:tab w:val="left" w:pos="1451"/>
        </w:tabs>
        <w:spacing w:before="240"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w:t>
      </w:r>
      <w:r>
        <w:rPr>
          <w:rFonts w:ascii="Times New Roman" w:eastAsia="Calibri" w:hAnsi="Times New Roman" w:cs="Times New Roman"/>
          <w:sz w:val="24"/>
          <w:szCs w:val="24"/>
          <w:lang w:eastAsia="en-US"/>
        </w:rPr>
        <w:t xml:space="preserve">Paslaugų teikėjas </w:t>
      </w:r>
      <w:r w:rsidRPr="00DB4CBE">
        <w:rPr>
          <w:rFonts w:ascii="Times New Roman" w:eastAsia="Calibri" w:hAnsi="Times New Roman" w:cs="Times New Roman"/>
          <w:sz w:val="24"/>
          <w:szCs w:val="24"/>
          <w:lang w:eastAsia="en-US"/>
        </w:rPr>
        <w:t xml:space="preserve">dėl objektyvių priežasčių negali laikytis lentelėje nurodyto maksimalaus sprendimo laiko įsipareigojimo, tuomet turi nedelsiant informuoti </w:t>
      </w:r>
      <w:r>
        <w:rPr>
          <w:rFonts w:ascii="Times New Roman" w:eastAsia="Calibri" w:hAnsi="Times New Roman" w:cs="Times New Roman"/>
          <w:sz w:val="24"/>
          <w:szCs w:val="24"/>
          <w:lang w:eastAsia="en-US"/>
        </w:rPr>
        <w:t xml:space="preserve">Klientą </w:t>
      </w:r>
      <w:r w:rsidRPr="00DB4CBE">
        <w:rPr>
          <w:rFonts w:ascii="Times New Roman" w:eastAsia="Calibri" w:hAnsi="Times New Roman" w:cs="Times New Roman"/>
          <w:sz w:val="24"/>
          <w:szCs w:val="24"/>
          <w:lang w:eastAsia="en-US"/>
        </w:rPr>
        <w:t xml:space="preserve">per </w:t>
      </w:r>
      <w:r w:rsidRPr="008D1DF2">
        <w:rPr>
          <w:rFonts w:ascii="Times New Roman" w:eastAsia="Calibri" w:hAnsi="Times New Roman" w:cs="Times New Roman"/>
          <w:sz w:val="24"/>
          <w:szCs w:val="24"/>
          <w:lang w:eastAsia="en-US"/>
        </w:rPr>
        <w:t>„</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sistemą</w:t>
      </w:r>
      <w:r w:rsidRPr="00DB4CBE">
        <w:rPr>
          <w:rFonts w:ascii="Times New Roman" w:eastAsia="Calibri" w:hAnsi="Times New Roman" w:cs="Times New Roman"/>
          <w:sz w:val="24"/>
          <w:szCs w:val="24"/>
          <w:lang w:eastAsia="en-US"/>
        </w:rPr>
        <w:t>, pateikti priežasčių pagrindimą ir nurodyti faktiškai galimą greičiausią sprendimo terminą bei užtikrinti Sistemos veikimą apeinant klaidą, kol problema bus išspręsta.</w:t>
      </w:r>
      <w:r>
        <w:rPr>
          <w:rFonts w:ascii="Times New Roman" w:eastAsia="Calibri" w:hAnsi="Times New Roman" w:cs="Times New Roman"/>
          <w:sz w:val="24"/>
          <w:szCs w:val="24"/>
          <w:lang w:eastAsia="en-US"/>
        </w:rPr>
        <w:t xml:space="preserve"> </w:t>
      </w:r>
    </w:p>
    <w:p w14:paraId="74A2EB7A"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nereaguoja per Techninėje specifikacijoje numatytą laiką ir (ar) neišsprendžia problemos per Techninėje specifikacijoje numatytą maksimalų sprendimo laiką nuo patvirtinimo ir tam nėra objektyvių priežasčių, apie kurias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informavo,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turi teisę taikyti </w:t>
      </w:r>
      <w:r>
        <w:rPr>
          <w:rFonts w:ascii="Times New Roman" w:eastAsia="Calibri" w:hAnsi="Times New Roman" w:cs="Times New Roman"/>
          <w:sz w:val="24"/>
          <w:szCs w:val="24"/>
          <w:lang w:eastAsia="en-US"/>
        </w:rPr>
        <w:t xml:space="preserve">Paslaugų teikėjui </w:t>
      </w:r>
      <w:r w:rsidRPr="00DB4CBE">
        <w:rPr>
          <w:rFonts w:ascii="Times New Roman" w:eastAsia="Calibri" w:hAnsi="Times New Roman" w:cs="Times New Roman"/>
          <w:sz w:val="24"/>
          <w:szCs w:val="24"/>
          <w:lang w:eastAsia="en-US"/>
        </w:rPr>
        <w:t>Sutartyje numatyto dydžio baudą.</w:t>
      </w:r>
    </w:p>
    <w:p w14:paraId="293096BE"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Visi užklausimai dėl kritinių, rimtų klaidų yra vykdomi be </w:t>
      </w:r>
      <w:r>
        <w:rPr>
          <w:rFonts w:ascii="Times New Roman" w:eastAsia="Calibri" w:hAnsi="Times New Roman" w:cs="Times New Roman"/>
          <w:sz w:val="24"/>
          <w:szCs w:val="24"/>
          <w:lang w:eastAsia="en-US"/>
        </w:rPr>
        <w:t xml:space="preserve">Kliento </w:t>
      </w:r>
      <w:r w:rsidRPr="00DB4CBE">
        <w:rPr>
          <w:rFonts w:ascii="Times New Roman" w:eastAsia="Calibri" w:hAnsi="Times New Roman" w:cs="Times New Roman"/>
          <w:sz w:val="24"/>
          <w:szCs w:val="24"/>
          <w:lang w:eastAsia="en-US"/>
        </w:rPr>
        <w:t>patvirtinimo garantinės priežiūros ribose</w:t>
      </w:r>
      <w:r>
        <w:rPr>
          <w:rFonts w:ascii="Times New Roman" w:eastAsia="Calibri" w:hAnsi="Times New Roman" w:cs="Times New Roman"/>
          <w:sz w:val="24"/>
          <w:szCs w:val="24"/>
          <w:lang w:eastAsia="en-US"/>
        </w:rPr>
        <w:t xml:space="preserve"> nurodytose 7 punkte</w:t>
      </w:r>
      <w:r w:rsidRPr="00DB4CBE">
        <w:rPr>
          <w:rFonts w:ascii="Times New Roman" w:eastAsia="Calibri" w:hAnsi="Times New Roman" w:cs="Times New Roman"/>
          <w:sz w:val="24"/>
          <w:szCs w:val="24"/>
          <w:lang w:eastAsia="en-US"/>
        </w:rPr>
        <w:t xml:space="preserve">. Visi užklausimai dėl neesminių klaidų yra vykdomi garantinės priežiūros ribose be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patvirtinimo, tačiau jei nagrinėjant klaidą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lastRenderedPageBreak/>
        <w:t xml:space="preserve">nustatė, kad užregistruotas incidentas nėra klaida, o yra papildomas poreikis, incidento vykdymas turi būti suderintas su </w:t>
      </w:r>
      <w:r>
        <w:rPr>
          <w:rFonts w:ascii="Times New Roman" w:eastAsia="Calibri" w:hAnsi="Times New Roman" w:cs="Times New Roman"/>
          <w:sz w:val="24"/>
          <w:szCs w:val="24"/>
          <w:lang w:eastAsia="en-US"/>
        </w:rPr>
        <w:t>Klientu.</w:t>
      </w:r>
      <w:r w:rsidRPr="00DB4CBE">
        <w:rPr>
          <w:rFonts w:ascii="Times New Roman" w:eastAsia="Calibri" w:hAnsi="Times New Roman" w:cs="Times New Roman"/>
          <w:sz w:val="24"/>
          <w:szCs w:val="24"/>
          <w:lang w:eastAsia="en-US"/>
        </w:rPr>
        <w:t xml:space="preserve"> Tokiu atveju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turi pateikti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incidento sprendimo vertinimą valandomis ir pradėti teikti paslaugas tik gavus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patvirtinimą.</w:t>
      </w:r>
    </w:p>
    <w:p w14:paraId="4813AE65"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Visas prie užduočių praleistas laikas yra fiksuojamas </w:t>
      </w:r>
      <w:r w:rsidRPr="008D1DF2">
        <w:rPr>
          <w:rFonts w:ascii="Times New Roman" w:eastAsia="Calibri" w:hAnsi="Times New Roman" w:cs="Times New Roman"/>
          <w:sz w:val="24"/>
          <w:szCs w:val="24"/>
          <w:lang w:eastAsia="en-US"/>
        </w:rPr>
        <w:t>„</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sistemoje. Paslaugų teikėjas naudoja šioje sistemoje esančius duomeni</w:t>
      </w:r>
      <w:r w:rsidRPr="00DB4CBE">
        <w:rPr>
          <w:rFonts w:ascii="Times New Roman" w:eastAsia="Calibri" w:hAnsi="Times New Roman" w:cs="Times New Roman"/>
          <w:sz w:val="24"/>
          <w:szCs w:val="24"/>
          <w:lang w:eastAsia="en-US"/>
        </w:rPr>
        <w:t>s sąskaitoms išrašyti.</w:t>
      </w:r>
    </w:p>
    <w:p w14:paraId="36163B73"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Palaikymo paslaugos yra perduodamos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Šalims pasirašant suteiktų paslaugų priėmimo-perdavimo aktą. Šalims pasirašius aktą,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pateikia sąskaitą (sąskaita pateikiama tais atvejais, kai paslaugos teikiamos ne garantinės priežiūros ribose, kaip nurodyta </w:t>
      </w:r>
      <w:r>
        <w:rPr>
          <w:rFonts w:ascii="Times New Roman" w:eastAsia="Calibri" w:hAnsi="Times New Roman" w:cs="Times New Roman"/>
          <w:sz w:val="24"/>
          <w:szCs w:val="24"/>
          <w:lang w:eastAsia="en-US"/>
        </w:rPr>
        <w:t>t</w:t>
      </w:r>
      <w:r w:rsidRPr="00DB4CBE">
        <w:rPr>
          <w:rFonts w:ascii="Times New Roman" w:eastAsia="Calibri" w:hAnsi="Times New Roman" w:cs="Times New Roman"/>
          <w:sz w:val="24"/>
          <w:szCs w:val="24"/>
          <w:lang w:eastAsia="en-US"/>
        </w:rPr>
        <w:t>echninės specifikacijos 6.7.1.10</w:t>
      </w:r>
      <w:r>
        <w:rPr>
          <w:rFonts w:ascii="Times New Roman" w:eastAsia="Calibri" w:hAnsi="Times New Roman" w:cs="Times New Roman"/>
          <w:sz w:val="24"/>
          <w:szCs w:val="24"/>
          <w:lang w:eastAsia="en-US"/>
        </w:rPr>
        <w:t xml:space="preserve"> punkte</w:t>
      </w:r>
      <w:r w:rsidRPr="00DB4CBE">
        <w:rPr>
          <w:rFonts w:ascii="Times New Roman" w:eastAsia="Calibri" w:hAnsi="Times New Roman" w:cs="Times New Roman"/>
          <w:sz w:val="24"/>
          <w:szCs w:val="24"/>
          <w:lang w:eastAsia="en-US"/>
        </w:rPr>
        <w:t xml:space="preserve">). Sąskaitos gali būti išrašomos už kiekvieną atskirą suteiktą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paslaugą (nepatenkančią į garantinės priežiūros ribas) arba už kelias paslaugas arba prijungiant suteiktą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alaikymo paslaugą prie kitų pagal Sutartį mokėtinų sumų ir išrašant bendrą sąskaitą).</w:t>
      </w:r>
    </w:p>
    <w:p w14:paraId="0DF36DB1" w14:textId="602D0630"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suteiktų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perdavimo-priėmimo metu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negali pilnai patikrinti suteiktų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atitikimo Sutartyje nustatytiems reikalavimams, tai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priėmimo-perdavimo akto pasirašymas jokiu būdu neapriboja </w:t>
      </w:r>
      <w:r>
        <w:rPr>
          <w:rFonts w:ascii="Times New Roman" w:eastAsia="Calibri" w:hAnsi="Times New Roman" w:cs="Times New Roman"/>
          <w:sz w:val="24"/>
          <w:szCs w:val="24"/>
          <w:lang w:eastAsia="en-US"/>
        </w:rPr>
        <w:t xml:space="preserve">Kliento </w:t>
      </w:r>
      <w:r w:rsidRPr="00DB4CBE">
        <w:rPr>
          <w:rFonts w:ascii="Times New Roman" w:eastAsia="Calibri" w:hAnsi="Times New Roman" w:cs="Times New Roman"/>
          <w:sz w:val="24"/>
          <w:szCs w:val="24"/>
          <w:lang w:eastAsia="en-US"/>
        </w:rPr>
        <w:t xml:space="preserve">teisės per 12 (dvylika) mėnesių nuo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priėmimo-perdavimo akto pasirašymo dienos reikšti </w:t>
      </w:r>
      <w:r>
        <w:rPr>
          <w:rFonts w:ascii="Times New Roman" w:eastAsia="Calibri" w:hAnsi="Times New Roman" w:cs="Times New Roman"/>
          <w:sz w:val="24"/>
          <w:szCs w:val="24"/>
          <w:lang w:eastAsia="en-US"/>
        </w:rPr>
        <w:t xml:space="preserve">Paslaugų teikėjui </w:t>
      </w:r>
      <w:r w:rsidRPr="00DB4CBE">
        <w:rPr>
          <w:rFonts w:ascii="Times New Roman" w:eastAsia="Calibri" w:hAnsi="Times New Roman" w:cs="Times New Roman"/>
          <w:sz w:val="24"/>
          <w:szCs w:val="24"/>
          <w:lang w:eastAsia="en-US"/>
        </w:rPr>
        <w:t xml:space="preserve">pretenzijas dėl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alaikymo paslaugų neatitikimo Sutartyje nustatytiems reikalavimams/trūkumams.</w:t>
      </w:r>
    </w:p>
    <w:p w14:paraId="4EC3DAA5"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Palaikymo paslaugų priėmimo-perdavimo aktas surašomas dviem vienodą teisinę galią turinčiais egzemplioriais, po vieną egzempliorių kiekvienai Šaliai.</w:t>
      </w:r>
    </w:p>
    <w:p w14:paraId="4AA7C063" w14:textId="77777777" w:rsidR="00320296" w:rsidRPr="00DB4CBE" w:rsidRDefault="00320296" w:rsidP="00320296">
      <w:pPr>
        <w:numPr>
          <w:ilvl w:val="2"/>
          <w:numId w:val="4"/>
        </w:numPr>
        <w:tabs>
          <w:tab w:val="left" w:pos="0"/>
          <w:tab w:val="left" w:pos="469"/>
          <w:tab w:val="left" w:pos="708"/>
          <w:tab w:val="left" w:pos="741"/>
          <w:tab w:val="left" w:pos="1451"/>
        </w:tabs>
        <w:spacing w:before="240" w:after="240" w:line="240" w:lineRule="auto"/>
        <w:ind w:left="0" w:firstLine="567"/>
        <w:jc w:val="center"/>
        <w:rPr>
          <w:rFonts w:ascii="Times New Roman" w:eastAsia="Calibri" w:hAnsi="Times New Roman" w:cs="Times New Roman"/>
          <w:b/>
          <w:bCs/>
          <w:sz w:val="24"/>
          <w:szCs w:val="24"/>
          <w:lang w:eastAsia="en-US"/>
        </w:rPr>
      </w:pPr>
      <w:r w:rsidRPr="00DB4CBE">
        <w:rPr>
          <w:rFonts w:ascii="Times New Roman" w:eastAsia="Calibri" w:hAnsi="Times New Roman" w:cs="Times New Roman"/>
          <w:b/>
          <w:bCs/>
          <w:sz w:val="24"/>
          <w:szCs w:val="24"/>
          <w:lang w:eastAsia="en-US"/>
        </w:rPr>
        <w:t>Sistemos vystymo paslaugos</w:t>
      </w:r>
    </w:p>
    <w:p w14:paraId="208C64A4" w14:textId="7DA85D4F" w:rsidR="00320296" w:rsidRPr="00126DE1" w:rsidRDefault="00320296" w:rsidP="00126DE1">
      <w:pPr>
        <w:pStyle w:val="Sraopastraipa"/>
        <w:numPr>
          <w:ilvl w:val="3"/>
          <w:numId w:val="4"/>
        </w:numPr>
        <w:tabs>
          <w:tab w:val="left" w:pos="0"/>
          <w:tab w:val="left" w:pos="469"/>
          <w:tab w:val="left" w:pos="708"/>
          <w:tab w:val="left" w:pos="741"/>
          <w:tab w:val="left" w:pos="1451"/>
        </w:tabs>
        <w:spacing w:after="0" w:line="240" w:lineRule="auto"/>
        <w:ind w:left="0" w:firstLine="567"/>
        <w:jc w:val="both"/>
        <w:rPr>
          <w:rFonts w:ascii="Times New Roman" w:eastAsia="Calibri" w:hAnsi="Times New Roman" w:cs="Times New Roman"/>
          <w:sz w:val="24"/>
          <w:szCs w:val="24"/>
          <w:lang w:eastAsia="en-US"/>
        </w:rPr>
      </w:pPr>
      <w:r w:rsidRPr="00126DE1">
        <w:rPr>
          <w:rFonts w:ascii="Times New Roman" w:eastAsia="Calibri" w:hAnsi="Times New Roman" w:cs="Times New Roman"/>
          <w:sz w:val="24"/>
          <w:szCs w:val="24"/>
          <w:lang w:eastAsia="en-US"/>
        </w:rPr>
        <w:t>Klientas gali užsakyti CRM sistemos Vystymo paslaugas atskirais užsakymais (toliau – Užsakymas).</w:t>
      </w:r>
    </w:p>
    <w:p w14:paraId="44FDB6C7" w14:textId="77777777" w:rsidR="00320296" w:rsidRPr="008D1DF2" w:rsidRDefault="00320296" w:rsidP="00320296">
      <w:pPr>
        <w:numPr>
          <w:ilvl w:val="3"/>
          <w:numId w:val="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Vystymo paslaugos teikiamos pagal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poreikius,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teikiant Užsakymus Paslaugų t</w:t>
      </w:r>
      <w:r>
        <w:rPr>
          <w:rFonts w:ascii="Times New Roman" w:eastAsia="Calibri" w:hAnsi="Times New Roman" w:cs="Times New Roman"/>
          <w:sz w:val="24"/>
          <w:szCs w:val="24"/>
          <w:lang w:eastAsia="en-US"/>
        </w:rPr>
        <w:t>ei</w:t>
      </w:r>
      <w:r w:rsidRPr="00DB4CBE">
        <w:rPr>
          <w:rFonts w:ascii="Times New Roman" w:eastAsia="Calibri" w:hAnsi="Times New Roman" w:cs="Times New Roman"/>
          <w:sz w:val="24"/>
          <w:szCs w:val="24"/>
          <w:lang w:eastAsia="en-US"/>
        </w:rPr>
        <w:t xml:space="preserve">kėjui per </w:t>
      </w:r>
      <w:r w:rsidRPr="008D1DF2">
        <w:rPr>
          <w:rFonts w:ascii="Times New Roman" w:eastAsia="Calibri" w:hAnsi="Times New Roman" w:cs="Times New Roman"/>
          <w:sz w:val="24"/>
          <w:szCs w:val="24"/>
          <w:lang w:eastAsia="en-US"/>
        </w:rPr>
        <w:t>„</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xml:space="preserve">“ užduočių valdymo sistemą. </w:t>
      </w:r>
    </w:p>
    <w:p w14:paraId="5459C9E8"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Vystymo paslaugų suteikimo terminai, apimtys yra iš anksto suderinami ir patvirtinami Užsakyme Paslaugų teikėjo ir Kliento įgalioto darbuotojo per „</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sistemą arba kitais rašytiniais būdais. Užsakyme yra nurodomi: suteikiamos Paslaugos, reikalingos</w:t>
      </w:r>
      <w:r w:rsidRPr="00DB4CBE">
        <w:rPr>
          <w:rFonts w:ascii="Times New Roman" w:eastAsia="Calibri" w:hAnsi="Times New Roman" w:cs="Times New Roman"/>
          <w:sz w:val="24"/>
          <w:szCs w:val="24"/>
          <w:lang w:eastAsia="en-US"/>
        </w:rPr>
        <w:t xml:space="preserve"> darbo valandos ir terminai.</w:t>
      </w:r>
    </w:p>
    <w:p w14:paraId="13A3AC6A"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Užsakymus </w:t>
      </w:r>
      <w:r>
        <w:rPr>
          <w:rFonts w:ascii="Times New Roman" w:eastAsia="Calibri" w:hAnsi="Times New Roman" w:cs="Times New Roman"/>
          <w:sz w:val="24"/>
          <w:szCs w:val="24"/>
          <w:lang w:eastAsia="en-US"/>
        </w:rPr>
        <w:t>Klientas Paslaugų teikėjui</w:t>
      </w:r>
      <w:r w:rsidRPr="00DB4CBE">
        <w:rPr>
          <w:rFonts w:ascii="Times New Roman" w:eastAsia="Calibri" w:hAnsi="Times New Roman" w:cs="Times New Roman"/>
          <w:sz w:val="24"/>
          <w:szCs w:val="24"/>
          <w:lang w:eastAsia="en-US"/>
        </w:rPr>
        <w:t xml:space="preserve"> gali pateikti visą Sutarties galiojimo laikotarpį. Užsakymų skaičius neribojamas.</w:t>
      </w:r>
    </w:p>
    <w:p w14:paraId="091A1DE7"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įsipareigoja per Užsakyme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nurodytą protingą terminą pateikti Vystymo paslaugų Užsakymo reikalavimų sprendimo detalų aprašymą ir sąmatą;</w:t>
      </w:r>
    </w:p>
    <w:p w14:paraId="49F9CDA8"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Vystymo paslaugų suteikimo terminai, apimtys ir </w:t>
      </w:r>
      <w:r w:rsidRPr="00126DE1">
        <w:rPr>
          <w:rFonts w:ascii="Times New Roman" w:eastAsia="Calibri" w:hAnsi="Times New Roman" w:cs="Times New Roman"/>
          <w:sz w:val="24"/>
          <w:szCs w:val="24"/>
          <w:highlight w:val="yellow"/>
          <w:lang w:eastAsia="en-US"/>
        </w:rPr>
        <w:t>sąmata</w:t>
      </w:r>
      <w:r w:rsidRPr="00DB4CBE">
        <w:rPr>
          <w:rFonts w:ascii="Times New Roman" w:eastAsia="Calibri" w:hAnsi="Times New Roman" w:cs="Times New Roman"/>
          <w:sz w:val="24"/>
          <w:szCs w:val="24"/>
          <w:lang w:eastAsia="en-US"/>
        </w:rPr>
        <w:t xml:space="preserve">, Šalių atsakomybė už atskirus veiksmus, sprendimus ar pateikiamą informaciją bei resursus yra iš anksto raštu suderinami ir patvirtinami Užsakyme. </w:t>
      </w:r>
    </w:p>
    <w:p w14:paraId="0F537C5A" w14:textId="3A5341E5"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Už apimtis (darbo valandų kiekį), kurios nebuvo suderintos (t. y. kurios nebuvo nurodytos Užsakyme) </w:t>
      </w:r>
      <w:proofErr w:type="spellStart"/>
      <w:r>
        <w:rPr>
          <w:rFonts w:ascii="Times New Roman" w:eastAsia="Calibri" w:hAnsi="Times New Roman" w:cs="Times New Roman"/>
          <w:sz w:val="24"/>
          <w:szCs w:val="24"/>
          <w:lang w:eastAsia="en-US"/>
        </w:rPr>
        <w:t>Kleintas</w:t>
      </w:r>
      <w:proofErr w:type="spellEnd"/>
      <w:r w:rsidRPr="00DB4CBE">
        <w:rPr>
          <w:rFonts w:ascii="Times New Roman" w:eastAsia="Calibri" w:hAnsi="Times New Roman" w:cs="Times New Roman"/>
          <w:sz w:val="24"/>
          <w:szCs w:val="24"/>
          <w:lang w:eastAsia="en-US"/>
        </w:rPr>
        <w:t xml:space="preserve"> neapmoka. </w:t>
      </w:r>
    </w:p>
    <w:p w14:paraId="10D645C4"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siūlydamas Sistemos vystymo 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073F251B"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įsipareigoja teikti vystymo ir tinkinimo paslaugas tokiu būdu, kad gamintojo atnaujinimai (</w:t>
      </w:r>
      <w:proofErr w:type="spellStart"/>
      <w:r w:rsidRPr="00DB4CBE">
        <w:rPr>
          <w:rFonts w:ascii="Times New Roman" w:eastAsia="Calibri" w:hAnsi="Times New Roman" w:cs="Times New Roman"/>
          <w:sz w:val="24"/>
          <w:szCs w:val="24"/>
          <w:lang w:eastAsia="en-US"/>
        </w:rPr>
        <w:t>updates</w:t>
      </w:r>
      <w:proofErr w:type="spellEnd"/>
      <w:r w:rsidRPr="00DB4CBE">
        <w:rPr>
          <w:rFonts w:ascii="Times New Roman" w:eastAsia="Calibri" w:hAnsi="Times New Roman" w:cs="Times New Roman"/>
          <w:sz w:val="24"/>
          <w:szCs w:val="24"/>
          <w:lang w:eastAsia="en-US"/>
        </w:rPr>
        <w:t xml:space="preserve"> ir </w:t>
      </w:r>
      <w:proofErr w:type="spellStart"/>
      <w:r w:rsidRPr="00DB4CBE">
        <w:rPr>
          <w:rFonts w:ascii="Times New Roman" w:eastAsia="Calibri" w:hAnsi="Times New Roman" w:cs="Times New Roman"/>
          <w:sz w:val="24"/>
          <w:szCs w:val="24"/>
          <w:lang w:eastAsia="en-US"/>
        </w:rPr>
        <w:t>upgrades</w:t>
      </w:r>
      <w:proofErr w:type="spellEnd"/>
      <w:r w:rsidRPr="00DB4CBE">
        <w:rPr>
          <w:rFonts w:ascii="Times New Roman" w:eastAsia="Calibri" w:hAnsi="Times New Roman" w:cs="Times New Roman"/>
          <w:sz w:val="24"/>
          <w:szCs w:val="24"/>
          <w:lang w:eastAsia="en-US"/>
        </w:rPr>
        <w:t>) nesutrikdytų atliktų tinkinimo ir vystymo paslaugų teikimo metu sukurto funkcionalumo veikimo. Jei po gamintojo atnaujinimų (</w:t>
      </w:r>
      <w:proofErr w:type="spellStart"/>
      <w:r w:rsidRPr="00DB4CBE">
        <w:rPr>
          <w:rFonts w:ascii="Times New Roman" w:eastAsia="Calibri" w:hAnsi="Times New Roman" w:cs="Times New Roman"/>
          <w:sz w:val="24"/>
          <w:szCs w:val="24"/>
          <w:lang w:eastAsia="en-US"/>
        </w:rPr>
        <w:t>updates</w:t>
      </w:r>
      <w:proofErr w:type="spellEnd"/>
      <w:r w:rsidRPr="00DB4CBE">
        <w:rPr>
          <w:rFonts w:ascii="Times New Roman" w:eastAsia="Calibri" w:hAnsi="Times New Roman" w:cs="Times New Roman"/>
          <w:sz w:val="24"/>
          <w:szCs w:val="24"/>
          <w:lang w:eastAsia="en-US"/>
        </w:rPr>
        <w:t xml:space="preserve">, </w:t>
      </w:r>
      <w:proofErr w:type="spellStart"/>
      <w:r w:rsidRPr="00DB4CBE">
        <w:rPr>
          <w:rFonts w:ascii="Times New Roman" w:eastAsia="Calibri" w:hAnsi="Times New Roman" w:cs="Times New Roman"/>
          <w:sz w:val="24"/>
          <w:szCs w:val="24"/>
          <w:lang w:eastAsia="en-US"/>
        </w:rPr>
        <w:t>upgrades</w:t>
      </w:r>
      <w:proofErr w:type="spellEnd"/>
      <w:r w:rsidRPr="00DB4CBE">
        <w:rPr>
          <w:rFonts w:ascii="Times New Roman" w:eastAsia="Calibri" w:hAnsi="Times New Roman" w:cs="Times New Roman"/>
          <w:sz w:val="24"/>
          <w:szCs w:val="24"/>
          <w:lang w:eastAsia="en-US"/>
        </w:rPr>
        <w:t xml:space="preserve">) arba po naujai atliktų vystymo ar tinkinimo paslaugų įdiegimo nustoja korektiškai veikti esamas sistemos funkcionalumas,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turi ištaisyti Sistemos veikimą savo sąskaita.</w:t>
      </w:r>
    </w:p>
    <w:p w14:paraId="1C7F396E"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testavimo aplinkoje turi atlikti suteiktų Vystymo paslaugų rezultatų testavimą ir pateikti testavimo rezultatų ataskaitą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turi atlikti suteiktų </w:t>
      </w:r>
      <w:r w:rsidRPr="00DB4CBE">
        <w:rPr>
          <w:rFonts w:ascii="Times New Roman" w:eastAsia="Calibri" w:hAnsi="Times New Roman" w:cs="Times New Roman"/>
          <w:sz w:val="24"/>
          <w:szCs w:val="24"/>
          <w:lang w:eastAsia="en-US"/>
        </w:rPr>
        <w:lastRenderedPageBreak/>
        <w:t xml:space="preserve">Vystymo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w:t>
      </w:r>
      <w:r w:rsidRPr="008D1DF2">
        <w:rPr>
          <w:rFonts w:ascii="Times New Roman" w:eastAsia="Calibri" w:hAnsi="Times New Roman" w:cs="Times New Roman"/>
          <w:sz w:val="24"/>
          <w:szCs w:val="24"/>
          <w:lang w:eastAsia="en-US"/>
        </w:rPr>
        <w:t>valdomas „</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sistemoje.</w:t>
      </w:r>
      <w:r w:rsidRPr="00DB4CBE">
        <w:rPr>
          <w:rFonts w:ascii="Times New Roman" w:eastAsia="Calibri" w:hAnsi="Times New Roman" w:cs="Times New Roman"/>
          <w:sz w:val="24"/>
          <w:szCs w:val="24"/>
          <w:lang w:eastAsia="en-US"/>
        </w:rPr>
        <w:t xml:space="preserve"> Testavimo metu pastebėtos klaidos turi būti taisomos </w:t>
      </w:r>
      <w:r>
        <w:rPr>
          <w:rFonts w:ascii="Times New Roman" w:eastAsia="Calibri" w:hAnsi="Times New Roman" w:cs="Times New Roman"/>
          <w:sz w:val="24"/>
          <w:szCs w:val="24"/>
          <w:lang w:eastAsia="en-US"/>
        </w:rPr>
        <w:t>Paslaugų teikėjo</w:t>
      </w:r>
      <w:r w:rsidRPr="00DB4CBE">
        <w:rPr>
          <w:rFonts w:ascii="Times New Roman" w:eastAsia="Calibri" w:hAnsi="Times New Roman" w:cs="Times New Roman"/>
          <w:sz w:val="24"/>
          <w:szCs w:val="24"/>
          <w:lang w:eastAsia="en-US"/>
        </w:rPr>
        <w:t xml:space="preserve"> lėšomis.</w:t>
      </w:r>
    </w:p>
    <w:p w14:paraId="57CAE26A"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Atlikus testavimą ir patvirtinus, jog klaidų nėra,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turi įdiegti/išdiegti į/iš Sistemos testavimo aplinką ir/ar sukonfigūruoti Sistemos tobulinimą/keitimą/vystymą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aplinkoje.</w:t>
      </w:r>
    </w:p>
    <w:p w14:paraId="1D5CD1DB" w14:textId="77777777"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Naujai įkeltas funkcionalumas į Sistemos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neturi sutrikdyti kitų Sistemos modulių ir juose esančių funkcijų darbo. Jeigu naujai į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įkeltas funkcionalumas sutrikdo Sistemos modulių ir juose esančių funkcijų darbą, laikoma, kad įkeltas funkcionalumas atliktas nekokybiškai. </w:t>
      </w:r>
    </w:p>
    <w:p w14:paraId="0CEB6DC4" w14:textId="2713BB98"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Pagal kiekvieną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pateiktą Užsakymą laiku ir tinkamai suteiktos Vystymo paslaugos yra perduodamos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Šalims pasirašant suteiktų Vystymo paslaugų priėmimo-perdavimo aktą. Šalims pasirašius aktą,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pateikia sąskaitą (sąskaitos gali būti išrašomos už kiekvieną atskirą atliktą Užsakymą arba už kelis Užsakymus arba prijungiant Užsakymą prie kitų pagal Sutartį mokėtinų sumų ir išrašant bendrą sąskaitą).</w:t>
      </w:r>
    </w:p>
    <w:p w14:paraId="3EDEBC50" w14:textId="0359D94F"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Vystymo paslaugų priėmimo-perdavimo aktą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pasirašo, kai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Sistemos aplinkoje galima įvykdyti veiklos procesus Vystymo paslaugų Užsakyme apibrėžta funkcionalumo apimtimi, nėra likusių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nurodytų ir neištaisytų klaidų, o naujai į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įkeltas funkcionalumas veikia kokybiškai.</w:t>
      </w:r>
    </w:p>
    <w:p w14:paraId="01EB272D" w14:textId="75AA2DF9"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suteiktų Vystymo paslaugų perdavimo-priėmimo metu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negali pilnai patikrinti suteiktų Vystymo paslaugų atitikimo Sutartyje ir Užsakyme nustatytiems reikalavimams, tai Vystymo paslaugų priėmimo-perdavimo akto pasirašymas jokiu būdu neapriboja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teisės per 12 (dvylika) mėnesių nuo Vystymo paslaugų priėmimo-perdavimo akto pasirašymo dienos reikšti </w:t>
      </w:r>
      <w:r>
        <w:rPr>
          <w:rFonts w:ascii="Times New Roman" w:eastAsia="Calibri" w:hAnsi="Times New Roman" w:cs="Times New Roman"/>
          <w:sz w:val="24"/>
          <w:szCs w:val="24"/>
          <w:lang w:eastAsia="en-US"/>
        </w:rPr>
        <w:t>Paslaugų teikėjui</w:t>
      </w:r>
      <w:r w:rsidRPr="00DB4CBE">
        <w:rPr>
          <w:rFonts w:ascii="Times New Roman" w:eastAsia="Calibri" w:hAnsi="Times New Roman" w:cs="Times New Roman"/>
          <w:sz w:val="24"/>
          <w:szCs w:val="24"/>
          <w:lang w:eastAsia="en-US"/>
        </w:rPr>
        <w:t xml:space="preserve"> pretenzijas dėl Vystymo paslaugų neatitikimo Sutartyje ir Užsakyme nustatytiems reikalavimams/trūkumams.</w:t>
      </w:r>
    </w:p>
    <w:p w14:paraId="354AA238" w14:textId="491FECD4" w:rsidR="00320296" w:rsidRPr="00DB4CBE" w:rsidRDefault="00320296" w:rsidP="00320296">
      <w:pPr>
        <w:numPr>
          <w:ilvl w:val="3"/>
          <w:numId w:val="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Vystymo paslaugų priėmimo-perdavimo aktas surašomas dviem vienodą teisinę galią turinčiais egzemplioriais, po vieną egzempliorių kiekvienai Šaliai.</w:t>
      </w:r>
    </w:p>
    <w:p w14:paraId="0B3E1305" w14:textId="77777777" w:rsidR="00320296" w:rsidRPr="00DB4CBE" w:rsidRDefault="00320296" w:rsidP="00320296">
      <w:pPr>
        <w:numPr>
          <w:ilvl w:val="3"/>
          <w:numId w:val="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Numatoma, kad Vystymo paslaugų metu sukurti nauji funkcionalumai, jų atnaujinimai ir (ar) pataisymai į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gali būti keliami ne daugiau kaip 2 kartus. Jeigu į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įkeltas funkcionalumas buvo įkeltas daugiau kaip 2 kartus dėl </w:t>
      </w:r>
      <w:r>
        <w:rPr>
          <w:rFonts w:ascii="Times New Roman" w:eastAsia="Calibri" w:hAnsi="Times New Roman" w:cs="Times New Roman"/>
          <w:sz w:val="24"/>
          <w:szCs w:val="24"/>
          <w:lang w:eastAsia="en-US"/>
        </w:rPr>
        <w:t>Paslaugų teikėjo</w:t>
      </w:r>
      <w:r w:rsidRPr="00DB4CBE">
        <w:rPr>
          <w:rFonts w:ascii="Times New Roman" w:eastAsia="Calibri" w:hAnsi="Times New Roman" w:cs="Times New Roman"/>
          <w:sz w:val="24"/>
          <w:szCs w:val="24"/>
          <w:lang w:eastAsia="en-US"/>
        </w:rPr>
        <w:t xml:space="preserve"> neišspręstų/paliktų klaidų, laikoma, kad įkeltas funkcionalumas atliktas nekokybiškai ir </w:t>
      </w:r>
      <w:r>
        <w:rPr>
          <w:rFonts w:ascii="Times New Roman" w:eastAsia="Calibri" w:hAnsi="Times New Roman" w:cs="Times New Roman"/>
          <w:sz w:val="24"/>
          <w:szCs w:val="24"/>
          <w:lang w:eastAsia="en-US"/>
        </w:rPr>
        <w:t xml:space="preserve">Klientas </w:t>
      </w:r>
      <w:r w:rsidRPr="00DB4CBE">
        <w:rPr>
          <w:rFonts w:ascii="Times New Roman" w:eastAsia="Calibri" w:hAnsi="Times New Roman" w:cs="Times New Roman"/>
          <w:sz w:val="24"/>
          <w:szCs w:val="24"/>
          <w:lang w:eastAsia="en-US"/>
        </w:rPr>
        <w:t xml:space="preserve">turi teisę taikyti </w:t>
      </w:r>
      <w:r>
        <w:rPr>
          <w:rFonts w:ascii="Times New Roman" w:eastAsia="Calibri" w:hAnsi="Times New Roman" w:cs="Times New Roman"/>
          <w:sz w:val="24"/>
          <w:szCs w:val="24"/>
          <w:lang w:eastAsia="en-US"/>
        </w:rPr>
        <w:t>Paslaugų teikėjui</w:t>
      </w:r>
      <w:r w:rsidRPr="00DB4CBE">
        <w:rPr>
          <w:rFonts w:ascii="Times New Roman" w:eastAsia="Calibri" w:hAnsi="Times New Roman" w:cs="Times New Roman"/>
          <w:sz w:val="24"/>
          <w:szCs w:val="24"/>
          <w:lang w:eastAsia="en-US"/>
        </w:rPr>
        <w:t xml:space="preserve"> Sutartyje numatyto dydžio baudą. </w:t>
      </w:r>
    </w:p>
    <w:p w14:paraId="676C54AC" w14:textId="77777777" w:rsidR="00320296" w:rsidRPr="008D1DF2" w:rsidRDefault="00320296" w:rsidP="00320296">
      <w:pPr>
        <w:numPr>
          <w:ilvl w:val="3"/>
          <w:numId w:val="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Visas prie užduočių praleistas laikas yra </w:t>
      </w:r>
      <w:r w:rsidRPr="008D1DF2">
        <w:rPr>
          <w:rFonts w:ascii="Times New Roman" w:eastAsia="Calibri" w:hAnsi="Times New Roman" w:cs="Times New Roman"/>
          <w:sz w:val="24"/>
          <w:szCs w:val="24"/>
          <w:lang w:eastAsia="en-US"/>
        </w:rPr>
        <w:t>fiksuojamas „</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sistemoje. Paslaugų teikėjas naudoja šioje sistemoje esančius duomenis sąskaitoms išrašyti.</w:t>
      </w:r>
    </w:p>
    <w:p w14:paraId="41F92A9E" w14:textId="77777777" w:rsidR="00320296" w:rsidRPr="008D1DF2" w:rsidRDefault="00320296" w:rsidP="00320296">
      <w:pPr>
        <w:numPr>
          <w:ilvl w:val="0"/>
          <w:numId w:val="4"/>
        </w:numPr>
        <w:tabs>
          <w:tab w:val="left" w:pos="0"/>
          <w:tab w:val="left" w:pos="469"/>
          <w:tab w:val="left" w:pos="708"/>
          <w:tab w:val="left" w:pos="741"/>
          <w:tab w:val="left" w:pos="1451"/>
        </w:tabs>
        <w:spacing w:before="240" w:after="0" w:line="240" w:lineRule="auto"/>
        <w:ind w:left="0" w:firstLine="567"/>
        <w:jc w:val="center"/>
        <w:rPr>
          <w:rFonts w:ascii="Times New Roman" w:eastAsia="Calibri" w:hAnsi="Times New Roman" w:cs="Times New Roman"/>
          <w:b/>
          <w:bCs/>
          <w:sz w:val="24"/>
          <w:szCs w:val="24"/>
          <w:lang w:eastAsia="en-US"/>
        </w:rPr>
      </w:pPr>
      <w:r w:rsidRPr="008D1DF2">
        <w:rPr>
          <w:rFonts w:ascii="Times New Roman" w:eastAsia="Calibri" w:hAnsi="Times New Roman" w:cs="Times New Roman"/>
          <w:b/>
          <w:bCs/>
          <w:sz w:val="24"/>
          <w:szCs w:val="24"/>
          <w:lang w:eastAsia="en-US"/>
        </w:rPr>
        <w:t>Garantija</w:t>
      </w:r>
    </w:p>
    <w:p w14:paraId="0EE4CAF7" w14:textId="77777777" w:rsidR="00320296" w:rsidRPr="008D1DF2" w:rsidRDefault="00320296" w:rsidP="006E003A">
      <w:pPr>
        <w:numPr>
          <w:ilvl w:val="1"/>
          <w:numId w:val="4"/>
        </w:numPr>
        <w:tabs>
          <w:tab w:val="left" w:pos="0"/>
          <w:tab w:val="left" w:pos="469"/>
          <w:tab w:val="left" w:pos="708"/>
          <w:tab w:val="left" w:pos="741"/>
          <w:tab w:val="left" w:pos="1451"/>
        </w:tabs>
        <w:spacing w:after="0" w:line="240" w:lineRule="auto"/>
        <w:ind w:left="0" w:firstLine="567"/>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Paslaugų teikėjas šios Techninės specifikacijos suteiktoms Sistemos konfigūravimo, diegimo,  vystymo ir palaikymo paslaugoms suteikia ne trumpesnę kaip 12 (dvylikos) mėnesių garantiją. Garantijos terminas skaičiuojamas:</w:t>
      </w:r>
    </w:p>
    <w:p w14:paraId="7A4B17DB" w14:textId="3C143719" w:rsidR="00320296" w:rsidRPr="008D1DF2" w:rsidRDefault="00320296" w:rsidP="006E003A">
      <w:pPr>
        <w:tabs>
          <w:tab w:val="left" w:pos="0"/>
          <w:tab w:val="left" w:pos="469"/>
          <w:tab w:val="left" w:pos="708"/>
          <w:tab w:val="left" w:pos="741"/>
          <w:tab w:val="left" w:pos="1451"/>
        </w:tabs>
        <w:spacing w:after="0" w:line="240" w:lineRule="auto"/>
        <w:ind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 xml:space="preserve">Sistemos konfigūravimo ir diegimo paslaugoms: nuo bandomosios eksploatacijos pabaigos, </w:t>
      </w:r>
      <w:proofErr w:type="spellStart"/>
      <w:r w:rsidRPr="008D1DF2">
        <w:rPr>
          <w:rFonts w:ascii="Times New Roman" w:eastAsia="Calibri" w:hAnsi="Times New Roman" w:cs="Times New Roman"/>
          <w:sz w:val="24"/>
          <w:szCs w:val="24"/>
          <w:lang w:eastAsia="en-US"/>
        </w:rPr>
        <w:t>t.y</w:t>
      </w:r>
      <w:proofErr w:type="spellEnd"/>
      <w:r w:rsidRPr="008D1DF2">
        <w:rPr>
          <w:rFonts w:ascii="Times New Roman" w:eastAsia="Calibri" w:hAnsi="Times New Roman" w:cs="Times New Roman"/>
          <w:sz w:val="24"/>
          <w:szCs w:val="24"/>
          <w:lang w:eastAsia="en-US"/>
        </w:rPr>
        <w:t>. nuo Konfigūravimo ir diegimo paslaugų priėmimo-perdavimo akto pasirašymo dienos.</w:t>
      </w:r>
    </w:p>
    <w:p w14:paraId="2DDF1A41" w14:textId="5EEE9A9B" w:rsidR="00320296" w:rsidRPr="008D1DF2" w:rsidRDefault="00320296" w:rsidP="006E003A">
      <w:pPr>
        <w:tabs>
          <w:tab w:val="left" w:pos="469"/>
          <w:tab w:val="left" w:pos="708"/>
          <w:tab w:val="left" w:pos="741"/>
          <w:tab w:val="left" w:pos="1451"/>
        </w:tabs>
        <w:spacing w:after="0" w:line="240" w:lineRule="auto"/>
        <w:ind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Sistemos Vystymo paslaugoms: nuo paslaugų priėmimo-pardavimo akto pasirašymo dienos arba iki sutarties galiojimo laikotarpio pabaigos.</w:t>
      </w:r>
    </w:p>
    <w:p w14:paraId="62FF0674" w14:textId="6CEBE669" w:rsidR="00320296" w:rsidRPr="008D1DF2" w:rsidRDefault="00320296" w:rsidP="006E003A">
      <w:pPr>
        <w:tabs>
          <w:tab w:val="left" w:pos="0"/>
          <w:tab w:val="left" w:pos="469"/>
          <w:tab w:val="left" w:pos="708"/>
          <w:tab w:val="left" w:pos="741"/>
          <w:tab w:val="left" w:pos="1451"/>
        </w:tabs>
        <w:spacing w:after="0" w:line="240" w:lineRule="auto"/>
        <w:ind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 xml:space="preserve">Sistemos </w:t>
      </w:r>
      <w:r>
        <w:rPr>
          <w:rFonts w:ascii="Times New Roman" w:eastAsia="Calibri" w:hAnsi="Times New Roman" w:cs="Times New Roman"/>
          <w:sz w:val="24"/>
          <w:szCs w:val="24"/>
          <w:lang w:eastAsia="en-US"/>
        </w:rPr>
        <w:t>p</w:t>
      </w:r>
      <w:r w:rsidRPr="008D1DF2">
        <w:rPr>
          <w:rFonts w:ascii="Times New Roman" w:eastAsia="Calibri" w:hAnsi="Times New Roman" w:cs="Times New Roman"/>
          <w:sz w:val="24"/>
          <w:szCs w:val="24"/>
          <w:lang w:eastAsia="en-US"/>
        </w:rPr>
        <w:t xml:space="preserve">alaikymo paslaugoms (kai atliekami </w:t>
      </w:r>
      <w:r>
        <w:rPr>
          <w:rFonts w:ascii="Times New Roman" w:eastAsia="Calibri" w:hAnsi="Times New Roman" w:cs="Times New Roman"/>
          <w:sz w:val="24"/>
          <w:szCs w:val="24"/>
          <w:lang w:eastAsia="en-US"/>
        </w:rPr>
        <w:t>k</w:t>
      </w:r>
      <w:r w:rsidRPr="008D1DF2">
        <w:rPr>
          <w:rFonts w:ascii="Times New Roman" w:eastAsia="Calibri" w:hAnsi="Times New Roman" w:cs="Times New Roman"/>
          <w:sz w:val="24"/>
          <w:szCs w:val="24"/>
          <w:lang w:eastAsia="en-US"/>
        </w:rPr>
        <w:t xml:space="preserve">ritinių, </w:t>
      </w:r>
      <w:r>
        <w:rPr>
          <w:rFonts w:ascii="Times New Roman" w:eastAsia="Calibri" w:hAnsi="Times New Roman" w:cs="Times New Roman"/>
          <w:sz w:val="24"/>
          <w:szCs w:val="24"/>
          <w:lang w:eastAsia="en-US"/>
        </w:rPr>
        <w:t>r</w:t>
      </w:r>
      <w:r w:rsidRPr="008D1DF2">
        <w:rPr>
          <w:rFonts w:ascii="Times New Roman" w:eastAsia="Calibri" w:hAnsi="Times New Roman" w:cs="Times New Roman"/>
          <w:sz w:val="24"/>
          <w:szCs w:val="24"/>
          <w:lang w:eastAsia="en-US"/>
        </w:rPr>
        <w:t xml:space="preserve">imtų ir </w:t>
      </w:r>
      <w:r>
        <w:rPr>
          <w:rFonts w:ascii="Times New Roman" w:eastAsia="Calibri" w:hAnsi="Times New Roman" w:cs="Times New Roman"/>
          <w:sz w:val="24"/>
          <w:szCs w:val="24"/>
          <w:lang w:eastAsia="en-US"/>
        </w:rPr>
        <w:t>n</w:t>
      </w:r>
      <w:r w:rsidRPr="008D1DF2">
        <w:rPr>
          <w:rFonts w:ascii="Times New Roman" w:eastAsia="Calibri" w:hAnsi="Times New Roman" w:cs="Times New Roman"/>
          <w:sz w:val="24"/>
          <w:szCs w:val="24"/>
          <w:lang w:eastAsia="en-US"/>
        </w:rPr>
        <w:t>eesminių klaidų taisymo darbai): nuo paslaugų priėmimo-perdavimo akto pasirašymo dienos.</w:t>
      </w:r>
    </w:p>
    <w:p w14:paraId="6CA77DFC" w14:textId="30F32C4E" w:rsidR="00320296" w:rsidRPr="00DB4CBE" w:rsidRDefault="00320296" w:rsidP="006E003A">
      <w:pPr>
        <w:tabs>
          <w:tab w:val="left" w:pos="0"/>
          <w:tab w:val="left" w:pos="469"/>
          <w:tab w:val="left" w:pos="708"/>
          <w:tab w:val="left" w:pos="741"/>
          <w:tab w:val="left" w:pos="1451"/>
        </w:tabs>
        <w:spacing w:after="0" w:line="240" w:lineRule="auto"/>
        <w:ind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lastRenderedPageBreak/>
        <w:t xml:space="preserve">Garantiniu laikotarpiu Paslaugų teikėjas, suteikęs Sutartyje nustatytų reikalavimų neatitinkančias Vystymo paslaugas, įsipareigoja tokius neatitikimus/trūkumus ištaisyti savo sąskaita ne vėliau kaip per 3 (tris) darbo dienas (išskyrus, jei dėl neatitikimų/trūkumų atsirado Kritinė klaida) nuo Kliento raštiško pranešimo apie nustatytų reikalavimų neatitinkančias </w:t>
      </w:r>
      <w:r>
        <w:rPr>
          <w:rFonts w:ascii="Times New Roman" w:eastAsia="Calibri" w:hAnsi="Times New Roman" w:cs="Times New Roman"/>
          <w:sz w:val="24"/>
          <w:szCs w:val="24"/>
          <w:lang w:eastAsia="en-US"/>
        </w:rPr>
        <w:t>v</w:t>
      </w:r>
      <w:r w:rsidRPr="008D1DF2">
        <w:rPr>
          <w:rFonts w:ascii="Times New Roman" w:eastAsia="Calibri" w:hAnsi="Times New Roman" w:cs="Times New Roman"/>
          <w:sz w:val="24"/>
          <w:szCs w:val="24"/>
          <w:lang w:eastAsia="en-US"/>
        </w:rPr>
        <w:t>ystymo paslaugas išsiuntimo dienos per „</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sistemą ar kita rašytine forma. Jei Paslaugų teikėjas dėl objektyvių priežasčių negali laikytis šio termino, tuomet turi nedelsiant raštu per „</w:t>
      </w:r>
      <w:proofErr w:type="spellStart"/>
      <w:r w:rsidRPr="008D1DF2">
        <w:rPr>
          <w:rFonts w:ascii="Times New Roman" w:eastAsia="Calibri" w:hAnsi="Times New Roman" w:cs="Times New Roman"/>
          <w:sz w:val="24"/>
          <w:szCs w:val="24"/>
          <w:lang w:eastAsia="en-US"/>
        </w:rPr>
        <w:t>Redmine</w:t>
      </w:r>
      <w:proofErr w:type="spellEnd"/>
      <w:r w:rsidRPr="008D1DF2">
        <w:rPr>
          <w:rFonts w:ascii="Times New Roman" w:eastAsia="Calibri" w:hAnsi="Times New Roman" w:cs="Times New Roman"/>
          <w:sz w:val="24"/>
          <w:szCs w:val="24"/>
          <w:lang w:eastAsia="en-US"/>
        </w:rPr>
        <w:t>“ užduočių valdymo sistemą ar kita rašytine forma informuoti</w:t>
      </w:r>
      <w:r w:rsidRPr="00DB4CB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Klientą</w:t>
      </w:r>
      <w:r w:rsidRPr="00DB4CBE">
        <w:rPr>
          <w:rFonts w:ascii="Times New Roman" w:eastAsia="Calibri" w:hAnsi="Times New Roman" w:cs="Times New Roman"/>
          <w:sz w:val="24"/>
          <w:szCs w:val="24"/>
          <w:lang w:eastAsia="en-US"/>
        </w:rPr>
        <w:t xml:space="preserve">, pateikti priežasčių pagrindimą ir nurodyti faktiškai galimą greičiausią sprendimo terminą bei užtikrinti Sistemos veikimą apeinant klaidą, kol problema bus išspręsta. </w:t>
      </w:r>
    </w:p>
    <w:p w14:paraId="1A724C4C" w14:textId="7BF774F0" w:rsidR="007439E0" w:rsidRPr="00320296" w:rsidRDefault="00320296" w:rsidP="006E003A">
      <w:pPr>
        <w:tabs>
          <w:tab w:val="left" w:pos="0"/>
          <w:tab w:val="left" w:pos="469"/>
          <w:tab w:val="left" w:pos="708"/>
          <w:tab w:val="left" w:pos="741"/>
          <w:tab w:val="left" w:pos="1451"/>
        </w:tabs>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Klientas </w:t>
      </w:r>
      <w:r w:rsidRPr="00DB4CBE">
        <w:rPr>
          <w:rFonts w:ascii="Times New Roman" w:eastAsia="Calibri" w:hAnsi="Times New Roman" w:cs="Times New Roman"/>
          <w:sz w:val="24"/>
          <w:szCs w:val="24"/>
          <w:lang w:eastAsia="en-US"/>
        </w:rPr>
        <w:t xml:space="preserve">turi teisę kreiptis į </w:t>
      </w:r>
      <w:r>
        <w:rPr>
          <w:rFonts w:ascii="Times New Roman" w:eastAsia="Calibri" w:hAnsi="Times New Roman" w:cs="Times New Roman"/>
          <w:sz w:val="24"/>
          <w:szCs w:val="24"/>
          <w:lang w:eastAsia="en-US"/>
        </w:rPr>
        <w:t>Paslaugų teikėją</w:t>
      </w:r>
      <w:r w:rsidRPr="00DB4CBE">
        <w:rPr>
          <w:rFonts w:ascii="Times New Roman" w:eastAsia="Calibri" w:hAnsi="Times New Roman" w:cs="Times New Roman"/>
          <w:sz w:val="24"/>
          <w:szCs w:val="24"/>
          <w:lang w:eastAsia="en-US"/>
        </w:rPr>
        <w:t xml:space="preserve"> dėl Paslaugų trūkumų pašalinimo visą garantijos galiojimo terminą. Tačiau tai nepanaikina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teisės kreiptis dėl paslėptų trūkumų šalinimo visą Sutarties galiojimo laikotarpį, jei tokie paslėpti defektai negalėjo būti nustatyti Paslaugų priėmimo-perdavimo ar garantijos galiojimo metu</w:t>
      </w:r>
      <w:r>
        <w:rPr>
          <w:rFonts w:ascii="Times New Roman" w:eastAsia="Calibri" w:hAnsi="Times New Roman" w:cs="Times New Roman"/>
          <w:sz w:val="24"/>
          <w:szCs w:val="24"/>
          <w:lang w:eastAsia="en-US"/>
        </w:rPr>
        <w:t>.</w:t>
      </w:r>
    </w:p>
    <w:sectPr w:rsidR="007439E0" w:rsidRPr="003202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D2162"/>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4182821">
    <w:abstractNumId w:val="0"/>
  </w:num>
  <w:num w:numId="2" w16cid:durableId="538011317">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577738974">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588854034">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B9"/>
    <w:rsid w:val="00040DE1"/>
    <w:rsid w:val="00126DE1"/>
    <w:rsid w:val="0018188C"/>
    <w:rsid w:val="001A26CC"/>
    <w:rsid w:val="00285BA5"/>
    <w:rsid w:val="002F4686"/>
    <w:rsid w:val="00313127"/>
    <w:rsid w:val="00320296"/>
    <w:rsid w:val="0036149C"/>
    <w:rsid w:val="00380062"/>
    <w:rsid w:val="003F6B06"/>
    <w:rsid w:val="006E003A"/>
    <w:rsid w:val="00702F2C"/>
    <w:rsid w:val="007439E0"/>
    <w:rsid w:val="00845D8C"/>
    <w:rsid w:val="00927AC4"/>
    <w:rsid w:val="009A4B3B"/>
    <w:rsid w:val="009D06EB"/>
    <w:rsid w:val="009D39C1"/>
    <w:rsid w:val="00BF01A0"/>
    <w:rsid w:val="00D617FD"/>
    <w:rsid w:val="00E563B9"/>
    <w:rsid w:val="00E941D5"/>
    <w:rsid w:val="00EB62D5"/>
    <w:rsid w:val="00FA050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C8A8"/>
  <w15:chartTrackingRefBased/>
  <w15:docId w15:val="{F8AF10EF-C8B5-4F78-80C8-96010B46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296"/>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E5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6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63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63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63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63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63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63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63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63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63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63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63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63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63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63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63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63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6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63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63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63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63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63B9"/>
    <w:rPr>
      <w:i/>
      <w:iCs/>
      <w:color w:val="404040" w:themeColor="text1" w:themeTint="BF"/>
    </w:rPr>
  </w:style>
  <w:style w:type="paragraph" w:styleId="Sraopastraipa">
    <w:name w:val="List Paragraph"/>
    <w:basedOn w:val="prastasis"/>
    <w:uiPriority w:val="34"/>
    <w:qFormat/>
    <w:rsid w:val="00E563B9"/>
    <w:pPr>
      <w:ind w:left="720"/>
      <w:contextualSpacing/>
    </w:pPr>
  </w:style>
  <w:style w:type="character" w:styleId="Rykuspabraukimas">
    <w:name w:val="Intense Emphasis"/>
    <w:basedOn w:val="Numatytasispastraiposriftas"/>
    <w:uiPriority w:val="21"/>
    <w:qFormat/>
    <w:rsid w:val="00E563B9"/>
    <w:rPr>
      <w:i/>
      <w:iCs/>
      <w:color w:val="0F4761" w:themeColor="accent1" w:themeShade="BF"/>
    </w:rPr>
  </w:style>
  <w:style w:type="paragraph" w:styleId="Iskirtacitata">
    <w:name w:val="Intense Quote"/>
    <w:basedOn w:val="prastasis"/>
    <w:next w:val="prastasis"/>
    <w:link w:val="IskirtacitataDiagrama"/>
    <w:uiPriority w:val="30"/>
    <w:qFormat/>
    <w:rsid w:val="00E56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63B9"/>
    <w:rPr>
      <w:i/>
      <w:iCs/>
      <w:color w:val="0F4761" w:themeColor="accent1" w:themeShade="BF"/>
    </w:rPr>
  </w:style>
  <w:style w:type="character" w:styleId="Rykinuoroda">
    <w:name w:val="Intense Reference"/>
    <w:basedOn w:val="Numatytasispastraiposriftas"/>
    <w:uiPriority w:val="32"/>
    <w:qFormat/>
    <w:rsid w:val="00E563B9"/>
    <w:rPr>
      <w:b/>
      <w:bCs/>
      <w:smallCaps/>
      <w:color w:val="0F4761" w:themeColor="accent1" w:themeShade="BF"/>
      <w:spacing w:val="5"/>
    </w:rPr>
  </w:style>
  <w:style w:type="table" w:customStyle="1" w:styleId="2paprastojilentel1">
    <w:name w:val="2 paprastoji lentelė1"/>
    <w:basedOn w:val="prastojilentel"/>
    <w:next w:val="2paprastojilentel"/>
    <w:uiPriority w:val="42"/>
    <w:rsid w:val="00320296"/>
    <w:pPr>
      <w:spacing w:after="0" w:line="240" w:lineRule="auto"/>
    </w:pPr>
    <w:rPr>
      <w:rFonts w:eastAsia="Calibri"/>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entelstinklelis4">
    <w:name w:val="Lentelės tinklelis4"/>
    <w:basedOn w:val="prastojilentel"/>
    <w:next w:val="Lentelstinklelis"/>
    <w:uiPriority w:val="39"/>
    <w:rsid w:val="00320296"/>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3202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entelstinklelis">
    <w:name w:val="Table Grid"/>
    <w:basedOn w:val="prastojilentel"/>
    <w:uiPriority w:val="39"/>
    <w:rsid w:val="0032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4686"/>
    <w:rPr>
      <w:sz w:val="16"/>
      <w:szCs w:val="16"/>
    </w:rPr>
  </w:style>
  <w:style w:type="paragraph" w:styleId="Komentarotekstas">
    <w:name w:val="annotation text"/>
    <w:basedOn w:val="prastasis"/>
    <w:link w:val="KomentarotekstasDiagrama"/>
    <w:uiPriority w:val="99"/>
    <w:unhideWhenUsed/>
    <w:rsid w:val="002F46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4686"/>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2F4686"/>
    <w:rPr>
      <w:b/>
      <w:bCs/>
    </w:rPr>
  </w:style>
  <w:style w:type="character" w:customStyle="1" w:styleId="KomentarotemaDiagrama">
    <w:name w:val="Komentaro tema Diagrama"/>
    <w:basedOn w:val="KomentarotekstasDiagrama"/>
    <w:link w:val="Komentarotema"/>
    <w:uiPriority w:val="99"/>
    <w:semiHidden/>
    <w:rsid w:val="002F4686"/>
    <w:rPr>
      <w:rFonts w:eastAsiaTheme="minorEastAsia"/>
      <w:b/>
      <w:bCs/>
      <w:kern w:val="0"/>
      <w:sz w:val="20"/>
      <w:szCs w:val="20"/>
      <w:lang w:eastAsia="zh-CN"/>
      <w14:ligatures w14:val="none"/>
    </w:rPr>
  </w:style>
  <w:style w:type="paragraph" w:styleId="Pataisymai">
    <w:name w:val="Revision"/>
    <w:hidden/>
    <w:uiPriority w:val="99"/>
    <w:semiHidden/>
    <w:rsid w:val="002F4686"/>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CEE76-1C42-4758-B367-6B4D7707C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CE56E-D063-4E60-9231-81A2A0DC537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06B5A13-399F-4218-B30E-7833D64D8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14601</Characters>
  <Application>Microsoft Office Word</Application>
  <DocSecurity>0</DocSecurity>
  <Lines>275</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Mikuta</dc:creator>
  <cp:keywords/>
  <dc:description/>
  <cp:lastModifiedBy>Jūratė Čaiko</cp:lastModifiedBy>
  <cp:revision>2</cp:revision>
  <dcterms:created xsi:type="dcterms:W3CDTF">2025-11-11T14:45:00Z</dcterms:created>
  <dcterms:modified xsi:type="dcterms:W3CDTF">2025-11-11T14:45:00Z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