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FA5161"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40EC3C65" w:rsidR="005A5832" w:rsidRPr="00FA5161" w:rsidRDefault="00F32230" w:rsidP="008915CA">
            <w:pPr>
              <w:jc w:val="both"/>
              <w:rPr>
                <w:rFonts w:ascii="Cambria" w:hAnsi="Cambria"/>
                <w:kern w:val="2"/>
                <w:sz w:val="22"/>
                <w:szCs w:val="22"/>
              </w:rPr>
            </w:pPr>
            <w:r>
              <w:rPr>
                <w:rFonts w:ascii="Cambria" w:hAnsi="Cambria"/>
                <w:kern w:val="2"/>
                <w:sz w:val="22"/>
                <w:szCs w:val="22"/>
              </w:rPr>
              <w:t>Medicinos pagalbos priemonės</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8915CA">
        <w:trPr>
          <w:trHeight w:val="2542"/>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6D200167" w:rsidR="00670FE7" w:rsidRPr="00FA5161" w:rsidRDefault="00670FE7" w:rsidP="00547F2C">
            <w:pPr>
              <w:jc w:val="both"/>
              <w:rPr>
                <w:rFonts w:ascii="Cambria" w:hAnsi="Cambria"/>
                <w:sz w:val="22"/>
                <w:szCs w:val="22"/>
              </w:rPr>
            </w:pPr>
            <w:r w:rsidRPr="00FA5161">
              <w:rPr>
                <w:rFonts w:ascii="Cambria" w:hAnsi="Cambria"/>
                <w:sz w:val="22"/>
                <w:szCs w:val="22"/>
              </w:rPr>
              <w:t xml:space="preserve">Tiekėjas </w:t>
            </w:r>
            <w:bookmarkStart w:id="0" w:name="_GoBack"/>
            <w:r w:rsidRPr="00FA5161">
              <w:rPr>
                <w:rFonts w:ascii="Cambria" w:hAnsi="Cambria"/>
                <w:sz w:val="22"/>
                <w:szCs w:val="22"/>
              </w:rPr>
              <w:t>įsipareigoja Sutartyje numatyto</w:t>
            </w:r>
            <w:r w:rsidR="00B700E2" w:rsidRPr="00FA5161">
              <w:rPr>
                <w:rFonts w:ascii="Cambria" w:hAnsi="Cambria"/>
                <w:sz w:val="22"/>
                <w:szCs w:val="22"/>
              </w:rPr>
              <w:t xml:space="preserve">mis sąlygomis perduoti Pirkėjui </w:t>
            </w:r>
            <w:r w:rsidR="00E51DDC">
              <w:rPr>
                <w:rFonts w:ascii="Cambria" w:hAnsi="Cambria"/>
                <w:kern w:val="2"/>
                <w:sz w:val="22"/>
                <w:szCs w:val="22"/>
              </w:rPr>
              <w:t>Medicinos pagalbos priemones</w:t>
            </w:r>
            <w:r w:rsidR="00E51DDC" w:rsidRPr="00FA5161">
              <w:rPr>
                <w:rFonts w:ascii="Cambria" w:hAnsi="Cambria"/>
                <w:i/>
                <w:color w:val="4472C4" w:themeColor="accent1"/>
                <w:kern w:val="2"/>
                <w:sz w:val="22"/>
                <w:szCs w:val="22"/>
              </w:rPr>
              <w:t xml:space="preserve"> </w:t>
            </w:r>
            <w:r w:rsidR="004E786B" w:rsidRPr="00FA5161">
              <w:rPr>
                <w:rFonts w:ascii="Cambria" w:hAnsi="Cambria"/>
                <w:i/>
                <w:color w:val="4472C4" w:themeColor="accent1"/>
                <w:kern w:val="2"/>
                <w:sz w:val="22"/>
                <w:szCs w:val="22"/>
              </w:rPr>
              <w:t>t. y. .......................... (nurodyti pirkimo objekto pavadinimą ir pirkimo objekto dalį pagal pirkimo sąlygas, priklausomai, kuriai pirkimo objekto daliai sudaroma pirkimo sutartis)</w:t>
            </w:r>
            <w:r w:rsidRPr="00FA5161">
              <w:rPr>
                <w:rFonts w:ascii="Cambria" w:hAnsi="Cambria"/>
                <w:b/>
                <w:sz w:val="22"/>
                <w:szCs w:val="22"/>
              </w:rPr>
              <w:t xml:space="preserve"> </w:t>
            </w:r>
            <w:r w:rsidRPr="00FA5161">
              <w:rPr>
                <w:rFonts w:ascii="Cambria" w:hAnsi="Cambria"/>
                <w:sz w:val="22"/>
                <w:szCs w:val="22"/>
              </w:rPr>
              <w:t>(toliau – Prekės).</w:t>
            </w:r>
          </w:p>
          <w:p w14:paraId="5D72CB6A" w14:textId="7F9549C5" w:rsidR="00A04FEF" w:rsidRPr="00FA5161" w:rsidRDefault="00670FE7" w:rsidP="00547F2C">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bookmarkEnd w:id="0"/>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526B3562" w:rsidR="005A5832" w:rsidRPr="00FA5161" w:rsidRDefault="00E51DDC" w:rsidP="0092748B">
            <w:pPr>
              <w:rPr>
                <w:rFonts w:ascii="Cambria" w:hAnsi="Cambria"/>
                <w:kern w:val="2"/>
                <w:sz w:val="22"/>
                <w:szCs w:val="22"/>
              </w:rPr>
            </w:pPr>
            <w:r w:rsidRPr="00E51DDC">
              <w:rPr>
                <w:rFonts w:ascii="Cambria" w:hAnsi="Cambria"/>
                <w:kern w:val="2"/>
                <w:sz w:val="22"/>
                <w:szCs w:val="22"/>
              </w:rPr>
              <w:t xml:space="preserve">Medicinos pagalbos priemonės </w:t>
            </w:r>
            <w:r w:rsidR="00A43C96" w:rsidRPr="00FA5161">
              <w:rPr>
                <w:rFonts w:ascii="Cambria" w:hAnsi="Cambria"/>
                <w:kern w:val="2"/>
                <w:sz w:val="22"/>
                <w:szCs w:val="22"/>
              </w:rPr>
              <w:t>(a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5617D8">
        <w:trPr>
          <w:trHeight w:val="3959"/>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6" w14:textId="77777777" w:rsidR="005A5832" w:rsidRPr="00FA5161" w:rsidRDefault="005A5832" w:rsidP="00345C7E">
            <w:pPr>
              <w:rPr>
                <w:rFonts w:ascii="Cambria" w:hAnsi="Cambria"/>
                <w:b/>
                <w:bCs/>
                <w:kern w:val="2"/>
                <w:sz w:val="22"/>
                <w:szCs w:val="22"/>
              </w:rPr>
            </w:pP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lastRenderedPageBreak/>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C76A0F"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xml:space="preserve">, kita svarbi informacija. Prašyme </w:t>
            </w:r>
            <w:r w:rsidRPr="00FA5161">
              <w:rPr>
                <w:rFonts w:ascii="Cambria" w:hAnsi="Cambria"/>
                <w:kern w:val="2"/>
                <w:sz w:val="22"/>
                <w:szCs w:val="22"/>
                <w:shd w:val="clear" w:color="auto" w:fill="FFFFFF"/>
              </w:rPr>
              <w:lastRenderedPageBreak/>
              <w:t>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1"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E2" w14:textId="77777777" w:rsidR="00AF49CA" w:rsidRPr="00FA5161" w:rsidRDefault="00AF49CA" w:rsidP="00FA5161">
            <w:pPr>
              <w:jc w:val="both"/>
              <w:rPr>
                <w:rFonts w:ascii="Cambria" w:hAnsi="Cambria"/>
                <w:kern w:val="2"/>
                <w:sz w:val="22"/>
                <w:szCs w:val="22"/>
              </w:rPr>
            </w:pPr>
          </w:p>
          <w:p w14:paraId="5D72CBE3" w14:textId="77777777" w:rsidR="00AF49CA" w:rsidRPr="00FA5161" w:rsidRDefault="00AF49CA" w:rsidP="00FA5161">
            <w:pPr>
              <w:jc w:val="both"/>
              <w:rPr>
                <w:rFonts w:ascii="Cambria" w:hAnsi="Cambria"/>
                <w:kern w:val="2"/>
                <w:sz w:val="22"/>
                <w:szCs w:val="22"/>
              </w:rPr>
            </w:pP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33D41792"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922262" w:rsidRPr="00FA5161">
              <w:rPr>
                <w:rFonts w:ascii="Cambria" w:hAnsi="Cambria"/>
                <w:sz w:val="22"/>
                <w:szCs w:val="22"/>
              </w:rPr>
              <w:t>24 mėnesiai</w:t>
            </w:r>
            <w:r w:rsidRPr="00FA5161">
              <w:rPr>
                <w:rFonts w:ascii="Cambria" w:hAnsi="Cambria"/>
                <w:sz w:val="22"/>
                <w:szCs w:val="22"/>
              </w:rPr>
              <w:t>, iki jų garantinio galiojimo laiko 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8.1. Prievolių pagal Sutartį įvykdymo užtikrinimas</w:t>
            </w:r>
          </w:p>
        </w:tc>
        <w:tc>
          <w:tcPr>
            <w:tcW w:w="6705" w:type="dxa"/>
            <w:gridSpan w:val="2"/>
          </w:tcPr>
          <w:p w14:paraId="5D72CBF6" w14:textId="7F3AB89B" w:rsidR="00AF49CA" w:rsidRPr="00FA5161" w:rsidRDefault="00DE375D" w:rsidP="00547F2C">
            <w:pPr>
              <w:jc w:val="both"/>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FA5161">
              <w:rPr>
                <w:rFonts w:ascii="Cambria" w:hAnsi="Cambria"/>
                <w:b/>
                <w:bCs/>
                <w:kern w:val="2"/>
                <w:sz w:val="22"/>
                <w:szCs w:val="22"/>
              </w:rPr>
              <w:lastRenderedPageBreak/>
              <w:t xml:space="preserve">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lastRenderedPageBreak/>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45F29EBC" w14:textId="77777777" w:rsidR="00A35F15" w:rsidRPr="00FA5161" w:rsidRDefault="00A35F15" w:rsidP="00FA516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7A0B3C2F" w:rsidR="00AF49CA" w:rsidRPr="00FA5161" w:rsidRDefault="00A35F15" w:rsidP="00FA5161">
            <w:pPr>
              <w:jc w:val="both"/>
              <w:rPr>
                <w:rFonts w:ascii="Cambria" w:eastAsia="Arial" w:hAnsi="Cambria"/>
                <w:sz w:val="22"/>
                <w:szCs w:val="22"/>
              </w:rPr>
            </w:pPr>
            <w:r w:rsidRPr="00FA5161">
              <w:rPr>
                <w:rFonts w:ascii="Cambria" w:eastAsia="Arial" w:hAnsi="Cambria"/>
                <w:sz w:val="22"/>
                <w:szCs w:val="22"/>
              </w:rPr>
              <w:t xml:space="preserve">11.2.1. Pirkėjas neišpirko Prekių pagal Sutartį ir nėra išnaudota Sutarties kaina.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2F"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p w14:paraId="5D72CC30" w14:textId="77777777" w:rsidR="00AF49CA" w:rsidRPr="00FA5161" w:rsidRDefault="00AF49CA" w:rsidP="00FA5161">
            <w:pPr>
              <w:jc w:val="both"/>
              <w:rPr>
                <w:rFonts w:ascii="Cambria" w:hAnsi="Cambria"/>
                <w:kern w:val="2"/>
                <w:sz w:val="22"/>
                <w:szCs w:val="22"/>
              </w:rPr>
            </w:pPr>
          </w:p>
          <w:p w14:paraId="5D72CC31" w14:textId="77777777" w:rsidR="00AF49CA" w:rsidRPr="00FA5161" w:rsidRDefault="00AF49CA" w:rsidP="00FA5161">
            <w:pPr>
              <w:jc w:val="both"/>
              <w:rPr>
                <w:rFonts w:ascii="Cambria" w:hAnsi="Cambria"/>
                <w:kern w:val="2"/>
                <w:sz w:val="22"/>
                <w:szCs w:val="22"/>
              </w:rPr>
            </w:pP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37BC6665"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Tiekėjas privalo Prekes atvežti Pirkėjui ne kelių eismo piko valandomis, pirmadieniais − penktadieniais nuo 09:30 iki 14:30 val. ir </w:t>
            </w:r>
            <w:r w:rsidRPr="00FA5161">
              <w:rPr>
                <w:rFonts w:ascii="Cambria" w:hAnsi="Cambria"/>
                <w:kern w:val="2"/>
                <w:sz w:val="22"/>
                <w:szCs w:val="22"/>
                <w:shd w:val="clear" w:color="auto" w:fill="FFFFFF"/>
              </w:rPr>
              <w:lastRenderedPageBreak/>
              <w:t>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012B1D58" w14:textId="77777777" w:rsidR="00BE0D70" w:rsidRPr="00FA5161" w:rsidRDefault="00BE0D70" w:rsidP="001D48E2">
      <w:pPr>
        <w:jc w:val="both"/>
        <w:rPr>
          <w:rFonts w:ascii="Cambria" w:hAnsi="Cambria"/>
          <w:sz w:val="22"/>
          <w:szCs w:val="22"/>
        </w:rPr>
      </w:pPr>
    </w:p>
    <w:p w14:paraId="6E115CA2" w14:textId="77777777" w:rsidR="00BE0D70" w:rsidRPr="00FA5161" w:rsidRDefault="00BE0D70" w:rsidP="001D48E2">
      <w:pPr>
        <w:jc w:val="both"/>
        <w:rPr>
          <w:rFonts w:ascii="Cambria" w:hAnsi="Cambria"/>
          <w:sz w:val="22"/>
          <w:szCs w:val="22"/>
        </w:rPr>
      </w:pPr>
    </w:p>
    <w:p w14:paraId="2B1B9E60" w14:textId="77777777" w:rsidR="00BE0D70" w:rsidRPr="00FA5161" w:rsidRDefault="00BE0D70" w:rsidP="001D48E2">
      <w:pPr>
        <w:jc w:val="both"/>
        <w:rPr>
          <w:rFonts w:ascii="Cambria" w:hAnsi="Cambria"/>
          <w:sz w:val="22"/>
          <w:szCs w:val="22"/>
        </w:rPr>
      </w:pPr>
    </w:p>
    <w:p w14:paraId="5D97A110"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lastRenderedPageBreak/>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77777777" w:rsidR="00F82859" w:rsidRPr="00FA5161" w:rsidRDefault="00F82859" w:rsidP="00F82859">
      <w:pPr>
        <w:jc w:val="right"/>
        <w:rPr>
          <w:rFonts w:ascii="Cambria" w:hAnsi="Cambria"/>
          <w:sz w:val="22"/>
          <w:szCs w:val="22"/>
        </w:rPr>
      </w:pPr>
    </w:p>
    <w:p w14:paraId="5D72CC95" w14:textId="3E7B1A8C" w:rsidR="00F82859" w:rsidRPr="00FA5161" w:rsidRDefault="00F32230" w:rsidP="00F82859">
      <w:pPr>
        <w:jc w:val="center"/>
        <w:rPr>
          <w:rFonts w:ascii="Cambria" w:hAnsi="Cambria"/>
          <w:b/>
          <w:sz w:val="22"/>
          <w:szCs w:val="22"/>
        </w:rPr>
      </w:pPr>
      <w:r w:rsidRPr="00F32230">
        <w:rPr>
          <w:rFonts w:ascii="Cambria" w:hAnsi="Cambria"/>
          <w:b/>
          <w:caps/>
          <w:sz w:val="22"/>
          <w:szCs w:val="22"/>
        </w:rPr>
        <w:t>Medicinos pagalbos priemon</w:t>
      </w:r>
      <w:r>
        <w:rPr>
          <w:rFonts w:ascii="Cambria" w:hAnsi="Cambria"/>
          <w:b/>
          <w:caps/>
          <w:sz w:val="22"/>
          <w:szCs w:val="22"/>
        </w:rPr>
        <w:t>ių</w:t>
      </w:r>
      <w:r w:rsidR="00FA5161">
        <w:rPr>
          <w:rFonts w:ascii="Cambria" w:hAnsi="Cambria"/>
          <w:b/>
          <w:caps/>
          <w:sz w:val="22"/>
          <w:szCs w:val="22"/>
        </w:rPr>
        <w:t xml:space="preserve"> </w:t>
      </w:r>
      <w:r w:rsidR="00BA54F0" w:rsidRPr="00FA5161">
        <w:rPr>
          <w:rFonts w:ascii="Cambria" w:hAnsi="Cambria"/>
          <w:b/>
          <w:sz w:val="22"/>
          <w:szCs w:val="22"/>
        </w:rPr>
        <w:t>TECHNINĖ SPECIFIKACIJA</w:t>
      </w:r>
    </w:p>
    <w:p w14:paraId="5D72CC96" w14:textId="77777777" w:rsidR="00F82859" w:rsidRPr="00FA5161" w:rsidRDefault="00F82859" w:rsidP="00F82859">
      <w:pPr>
        <w:jc w:val="right"/>
        <w:rPr>
          <w:rFonts w:ascii="Cambria" w:hAnsi="Cambria"/>
          <w:sz w:val="22"/>
          <w:szCs w:val="22"/>
        </w:rPr>
      </w:pP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35439" w14:textId="77777777" w:rsidR="00C76A0F" w:rsidRDefault="00C76A0F">
      <w:pPr>
        <w:rPr>
          <w:kern w:val="2"/>
          <w:sz w:val="22"/>
          <w:szCs w:val="22"/>
          <w:lang w:val="en-US"/>
        </w:rPr>
      </w:pPr>
      <w:r>
        <w:rPr>
          <w:kern w:val="2"/>
          <w:sz w:val="22"/>
          <w:szCs w:val="22"/>
          <w:lang w:val="en-US"/>
        </w:rPr>
        <w:separator/>
      </w:r>
    </w:p>
  </w:endnote>
  <w:endnote w:type="continuationSeparator" w:id="0">
    <w:p w14:paraId="07B6EE24" w14:textId="77777777" w:rsidR="00C76A0F" w:rsidRDefault="00C76A0F">
      <w:pPr>
        <w:rPr>
          <w:kern w:val="2"/>
          <w:sz w:val="22"/>
          <w:szCs w:val="22"/>
          <w:lang w:val="en-US"/>
        </w:rPr>
      </w:pPr>
      <w:r>
        <w:rPr>
          <w:kern w:val="2"/>
          <w:sz w:val="22"/>
          <w:szCs w:val="22"/>
          <w:lang w:val="en-US"/>
        </w:rPr>
        <w:continuationSeparator/>
      </w:r>
    </w:p>
  </w:endnote>
  <w:endnote w:type="continuationNotice" w:id="1">
    <w:p w14:paraId="50171E30" w14:textId="77777777" w:rsidR="00C76A0F" w:rsidRDefault="00C76A0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D9580" w14:textId="77777777" w:rsidR="00C76A0F" w:rsidRDefault="00C76A0F">
      <w:pPr>
        <w:rPr>
          <w:kern w:val="2"/>
          <w:sz w:val="22"/>
          <w:szCs w:val="22"/>
          <w:lang w:val="en-US"/>
        </w:rPr>
      </w:pPr>
      <w:r>
        <w:rPr>
          <w:kern w:val="2"/>
          <w:sz w:val="22"/>
          <w:szCs w:val="22"/>
          <w:lang w:val="en-US"/>
        </w:rPr>
        <w:separator/>
      </w:r>
    </w:p>
  </w:footnote>
  <w:footnote w:type="continuationSeparator" w:id="0">
    <w:p w14:paraId="10EC3C8C" w14:textId="77777777" w:rsidR="00C76A0F" w:rsidRDefault="00C76A0F">
      <w:pPr>
        <w:rPr>
          <w:kern w:val="2"/>
          <w:sz w:val="22"/>
          <w:szCs w:val="22"/>
          <w:lang w:val="en-US"/>
        </w:rPr>
      </w:pPr>
      <w:r>
        <w:rPr>
          <w:kern w:val="2"/>
          <w:sz w:val="22"/>
          <w:szCs w:val="22"/>
          <w:lang w:val="en-US"/>
        </w:rPr>
        <w:continuationSeparator/>
      </w:r>
    </w:p>
  </w:footnote>
  <w:footnote w:type="continuationNotice" w:id="1">
    <w:p w14:paraId="6C3603CF" w14:textId="77777777" w:rsidR="00C76A0F" w:rsidRDefault="00C76A0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1045A1"/>
    <w:rsid w:val="001071D8"/>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58B1"/>
    <w:rsid w:val="00345C7E"/>
    <w:rsid w:val="00346FD0"/>
    <w:rsid w:val="00364BA6"/>
    <w:rsid w:val="00377E43"/>
    <w:rsid w:val="003A0155"/>
    <w:rsid w:val="003A411C"/>
    <w:rsid w:val="003B5B2B"/>
    <w:rsid w:val="003B7A86"/>
    <w:rsid w:val="003C05AF"/>
    <w:rsid w:val="003D68D8"/>
    <w:rsid w:val="0040301F"/>
    <w:rsid w:val="00412E1B"/>
    <w:rsid w:val="004202E7"/>
    <w:rsid w:val="00436499"/>
    <w:rsid w:val="004D2664"/>
    <w:rsid w:val="004E786B"/>
    <w:rsid w:val="0051400E"/>
    <w:rsid w:val="005211D6"/>
    <w:rsid w:val="00521CB7"/>
    <w:rsid w:val="00547F2C"/>
    <w:rsid w:val="0055778D"/>
    <w:rsid w:val="005617D8"/>
    <w:rsid w:val="00564B8C"/>
    <w:rsid w:val="0058018D"/>
    <w:rsid w:val="00584838"/>
    <w:rsid w:val="005A367C"/>
    <w:rsid w:val="005A5832"/>
    <w:rsid w:val="005F5B23"/>
    <w:rsid w:val="005F7BA8"/>
    <w:rsid w:val="00603C0C"/>
    <w:rsid w:val="00644CFA"/>
    <w:rsid w:val="00670FE7"/>
    <w:rsid w:val="00680A0D"/>
    <w:rsid w:val="00680C8A"/>
    <w:rsid w:val="00690A11"/>
    <w:rsid w:val="006C654F"/>
    <w:rsid w:val="006D153F"/>
    <w:rsid w:val="0072071D"/>
    <w:rsid w:val="00721BFC"/>
    <w:rsid w:val="00742D22"/>
    <w:rsid w:val="007806B0"/>
    <w:rsid w:val="007A4098"/>
    <w:rsid w:val="007A6306"/>
    <w:rsid w:val="007D024E"/>
    <w:rsid w:val="007D4F09"/>
    <w:rsid w:val="007E253A"/>
    <w:rsid w:val="007E319F"/>
    <w:rsid w:val="007F78F0"/>
    <w:rsid w:val="00801A2E"/>
    <w:rsid w:val="0081355D"/>
    <w:rsid w:val="00845240"/>
    <w:rsid w:val="008915CA"/>
    <w:rsid w:val="008A4E90"/>
    <w:rsid w:val="008A76EF"/>
    <w:rsid w:val="008B0E96"/>
    <w:rsid w:val="008B2B6E"/>
    <w:rsid w:val="008D2A38"/>
    <w:rsid w:val="008D6A46"/>
    <w:rsid w:val="00921C11"/>
    <w:rsid w:val="00922262"/>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76A0F"/>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B0B7E"/>
    <w:rsid w:val="00DD6E47"/>
    <w:rsid w:val="00DE375D"/>
    <w:rsid w:val="00E00C7C"/>
    <w:rsid w:val="00E04AC1"/>
    <w:rsid w:val="00E05F9E"/>
    <w:rsid w:val="00E32A90"/>
    <w:rsid w:val="00E37197"/>
    <w:rsid w:val="00E37498"/>
    <w:rsid w:val="00E51DDC"/>
    <w:rsid w:val="00E6658B"/>
    <w:rsid w:val="00EB14E5"/>
    <w:rsid w:val="00EC0D4B"/>
    <w:rsid w:val="00EC4C6C"/>
    <w:rsid w:val="00EF1CAF"/>
    <w:rsid w:val="00EF3C70"/>
    <w:rsid w:val="00F32230"/>
    <w:rsid w:val="00F35846"/>
    <w:rsid w:val="00F624C3"/>
    <w:rsid w:val="00F64024"/>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DC79133-FF87-4DE3-AC79-0E3B995A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11</Pages>
  <Words>12291</Words>
  <Characters>7006</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Brazienė</cp:lastModifiedBy>
  <cp:revision>62</cp:revision>
  <dcterms:created xsi:type="dcterms:W3CDTF">2024-03-26T12:45:00Z</dcterms:created>
  <dcterms:modified xsi:type="dcterms:W3CDTF">2025-09-03T06:26:00Z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