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1" w:type="dxa"/>
        <w:jc w:val="right"/>
        <w:tblLook w:val="01E0" w:firstRow="1" w:lastRow="1" w:firstColumn="1" w:lastColumn="1" w:noHBand="0" w:noVBand="0"/>
      </w:tblPr>
      <w:tblGrid>
        <w:gridCol w:w="4111"/>
      </w:tblGrid>
      <w:tr w:rsidR="0048326B" w:rsidRPr="0048326B" w14:paraId="08A6328C" w14:textId="77777777" w:rsidTr="001C22CC">
        <w:trPr>
          <w:trHeight w:val="362"/>
          <w:jc w:val="right"/>
        </w:trPr>
        <w:tc>
          <w:tcPr>
            <w:tcW w:w="4111" w:type="dxa"/>
          </w:tcPr>
          <w:p w14:paraId="7F93290C" w14:textId="36F9D737" w:rsidR="0048326B" w:rsidRPr="0048326B" w:rsidRDefault="0048326B" w:rsidP="0048326B">
            <w:pPr>
              <w:suppressAutoHyphens w:val="0"/>
              <w:jc w:val="right"/>
              <w:rPr>
                <w:lang w:eastAsia="lt-LT"/>
              </w:rPr>
            </w:pPr>
            <w:r w:rsidRPr="0048326B">
              <w:rPr>
                <w:rFonts w:eastAsia="Calibri"/>
                <w:i/>
                <w:lang w:eastAsia="lt-LT"/>
              </w:rPr>
              <w:t>Programinės įrangos licencijų  palaikymo pratęsimo pirkimo</w:t>
            </w:r>
            <w:r w:rsidRPr="0048326B">
              <w:rPr>
                <w:lang w:eastAsia="lt-LT"/>
              </w:rPr>
              <w:t xml:space="preserve"> </w:t>
            </w:r>
          </w:p>
          <w:p w14:paraId="4B9AB1DC" w14:textId="77777777" w:rsidR="0048326B" w:rsidRPr="0048326B" w:rsidRDefault="0048326B" w:rsidP="0048326B">
            <w:pPr>
              <w:suppressAutoHyphens w:val="0"/>
              <w:jc w:val="right"/>
              <w:rPr>
                <w:lang w:eastAsia="lt-LT"/>
              </w:rPr>
            </w:pPr>
            <w:r w:rsidRPr="0048326B">
              <w:rPr>
                <w:lang w:eastAsia="lt-LT"/>
              </w:rPr>
              <w:t>Atviro konkurso sąlygų</w:t>
            </w:r>
          </w:p>
        </w:tc>
      </w:tr>
      <w:tr w:rsidR="0048326B" w:rsidRPr="0048326B" w14:paraId="4012DE1D" w14:textId="77777777" w:rsidTr="001C22CC">
        <w:trPr>
          <w:trHeight w:val="358"/>
          <w:jc w:val="right"/>
        </w:trPr>
        <w:tc>
          <w:tcPr>
            <w:tcW w:w="4111" w:type="dxa"/>
          </w:tcPr>
          <w:p w14:paraId="6AEDCE5E" w14:textId="77777777" w:rsidR="0048326B" w:rsidRPr="0048326B" w:rsidRDefault="0048326B" w:rsidP="0048326B">
            <w:pPr>
              <w:suppressAutoHyphens w:val="0"/>
              <w:jc w:val="right"/>
              <w:rPr>
                <w:lang w:eastAsia="lt-LT"/>
              </w:rPr>
            </w:pPr>
            <w:r w:rsidRPr="0048326B">
              <w:rPr>
                <w:lang w:eastAsia="lt-LT"/>
              </w:rPr>
              <w:t xml:space="preserve">1 priedas </w:t>
            </w:r>
          </w:p>
        </w:tc>
      </w:tr>
    </w:tbl>
    <w:p w14:paraId="4EC9EA76" w14:textId="04827D20" w:rsidR="009E4892" w:rsidRDefault="009F6E22" w:rsidP="00593867">
      <w:pPr>
        <w:autoSpaceDE w:val="0"/>
        <w:spacing w:after="120"/>
        <w:jc w:val="center"/>
        <w:outlineLvl w:val="0"/>
        <w:rPr>
          <w:b/>
          <w:bCs/>
        </w:rPr>
      </w:pPr>
      <w:r w:rsidRPr="00391044">
        <w:rPr>
          <w:b/>
          <w:bCs/>
        </w:rPr>
        <w:t>PROGRAMINĖS ĮRANGOS</w:t>
      </w:r>
      <w:r w:rsidR="004015C5" w:rsidRPr="00391044">
        <w:rPr>
          <w:b/>
          <w:bCs/>
        </w:rPr>
        <w:t xml:space="preserve"> </w:t>
      </w:r>
      <w:r w:rsidR="009E4892">
        <w:rPr>
          <w:b/>
          <w:bCs/>
        </w:rPr>
        <w:t>LICENCIJŲ P</w:t>
      </w:r>
      <w:r w:rsidR="00766BCB">
        <w:rPr>
          <w:b/>
          <w:bCs/>
        </w:rPr>
        <w:t>ALAIKYMO</w:t>
      </w:r>
      <w:r w:rsidR="0012790F">
        <w:rPr>
          <w:b/>
          <w:bCs/>
        </w:rPr>
        <w:t xml:space="preserve"> PRATĘSIMO</w:t>
      </w:r>
    </w:p>
    <w:p w14:paraId="48F5B674" w14:textId="333499B1" w:rsidR="00644BCD" w:rsidRPr="00391044" w:rsidRDefault="00644BCD" w:rsidP="00593867">
      <w:pPr>
        <w:autoSpaceDE w:val="0"/>
        <w:spacing w:after="120"/>
        <w:jc w:val="center"/>
        <w:outlineLvl w:val="0"/>
        <w:rPr>
          <w:b/>
          <w:bCs/>
        </w:rPr>
      </w:pPr>
      <w:r w:rsidRPr="00391044">
        <w:rPr>
          <w:b/>
          <w:bCs/>
        </w:rPr>
        <w:t>TECHNIN</w:t>
      </w:r>
      <w:r w:rsidR="00854188" w:rsidRPr="00391044">
        <w:rPr>
          <w:b/>
          <w:bCs/>
        </w:rPr>
        <w:t>Ė</w:t>
      </w:r>
      <w:r w:rsidRPr="00391044">
        <w:rPr>
          <w:b/>
          <w:bCs/>
        </w:rPr>
        <w:t xml:space="preserve"> SPECIFIKACIJ</w:t>
      </w:r>
      <w:r w:rsidR="00D22C85" w:rsidRPr="00391044">
        <w:rPr>
          <w:b/>
          <w:bCs/>
        </w:rPr>
        <w:t>A</w:t>
      </w:r>
      <w:r w:rsidR="00EF0450" w:rsidRPr="00391044">
        <w:rPr>
          <w:b/>
          <w:bCs/>
        </w:rPr>
        <w:t xml:space="preserve"> </w:t>
      </w:r>
    </w:p>
    <w:p w14:paraId="40AF4D7F" w14:textId="77777777" w:rsidR="00887168" w:rsidRDefault="00887168" w:rsidP="00C93661">
      <w:pPr>
        <w:jc w:val="center"/>
      </w:pPr>
    </w:p>
    <w:p w14:paraId="0CDF3CAB" w14:textId="77777777" w:rsidR="006A0540" w:rsidRDefault="006A0540" w:rsidP="00C93661">
      <w:pPr>
        <w:jc w:val="center"/>
      </w:pPr>
    </w:p>
    <w:tbl>
      <w:tblPr>
        <w:tblW w:w="10148" w:type="dxa"/>
        <w:tblInd w:w="-792" w:type="dxa"/>
        <w:tblLayout w:type="fixed"/>
        <w:tblLook w:val="0000" w:firstRow="0" w:lastRow="0" w:firstColumn="0" w:lastColumn="0" w:noHBand="0" w:noVBand="0"/>
      </w:tblPr>
      <w:tblGrid>
        <w:gridCol w:w="1076"/>
        <w:gridCol w:w="9072"/>
      </w:tblGrid>
      <w:tr w:rsidR="004C370D" w:rsidRPr="00391044" w14:paraId="48F5B67B" w14:textId="77777777" w:rsidTr="00735C2C">
        <w:trPr>
          <w:trHeight w:val="324"/>
        </w:trPr>
        <w:tc>
          <w:tcPr>
            <w:tcW w:w="1076" w:type="dxa"/>
            <w:noWrap/>
          </w:tcPr>
          <w:p w14:paraId="48F5B679" w14:textId="38342BA4" w:rsidR="004C370D" w:rsidRPr="00E84770" w:rsidRDefault="004C370D" w:rsidP="00957C66">
            <w:pPr>
              <w:rPr>
                <w:b/>
                <w:bCs/>
              </w:rPr>
            </w:pPr>
          </w:p>
        </w:tc>
        <w:tc>
          <w:tcPr>
            <w:tcW w:w="9072" w:type="dxa"/>
          </w:tcPr>
          <w:p w14:paraId="48F5B67A" w14:textId="489FD1DD" w:rsidR="004C370D" w:rsidRPr="006676B9" w:rsidRDefault="004C370D" w:rsidP="00957C66">
            <w:pPr>
              <w:pStyle w:val="Heading1"/>
              <w:jc w:val="left"/>
              <w:rPr>
                <w:u w:val="single"/>
              </w:rPr>
            </w:pPr>
            <w:r w:rsidRPr="006676B9">
              <w:rPr>
                <w:u w:val="single"/>
              </w:rPr>
              <w:t>Bendrieji reikalavimai.</w:t>
            </w:r>
          </w:p>
        </w:tc>
      </w:tr>
      <w:tr w:rsidR="0012790F" w14:paraId="1D681905" w14:textId="77777777" w:rsidTr="00735C2C">
        <w:trPr>
          <w:trHeight w:val="324"/>
        </w:trPr>
        <w:tc>
          <w:tcPr>
            <w:tcW w:w="1076" w:type="dxa"/>
            <w:noWrap/>
          </w:tcPr>
          <w:p w14:paraId="7D5E7BA9" w14:textId="77777777" w:rsidR="0012790F" w:rsidRPr="0012790F" w:rsidRDefault="0012790F" w:rsidP="0012790F">
            <w:pPr>
              <w:rPr>
                <w:bCs/>
              </w:rPr>
            </w:pPr>
            <w:r w:rsidRPr="0012790F">
              <w:rPr>
                <w:bCs/>
              </w:rPr>
              <w:t>1.1.</w:t>
            </w:r>
          </w:p>
        </w:tc>
        <w:tc>
          <w:tcPr>
            <w:tcW w:w="9072" w:type="dxa"/>
          </w:tcPr>
          <w:p w14:paraId="2CBB02D3" w14:textId="77777777" w:rsidR="0012790F" w:rsidRDefault="0012790F" w:rsidP="008E2991">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12790F" w14:paraId="7528231E" w14:textId="77777777" w:rsidTr="00735C2C">
        <w:trPr>
          <w:trHeight w:val="324"/>
        </w:trPr>
        <w:tc>
          <w:tcPr>
            <w:tcW w:w="1076" w:type="dxa"/>
            <w:noWrap/>
          </w:tcPr>
          <w:p w14:paraId="3D94896B" w14:textId="77777777" w:rsidR="0012790F" w:rsidRPr="0012790F" w:rsidRDefault="0012790F" w:rsidP="0012790F">
            <w:pPr>
              <w:rPr>
                <w:bCs/>
              </w:rPr>
            </w:pPr>
            <w:r w:rsidRPr="0012790F">
              <w:rPr>
                <w:bCs/>
              </w:rPr>
              <w:t>1.2.</w:t>
            </w:r>
          </w:p>
        </w:tc>
        <w:tc>
          <w:tcPr>
            <w:tcW w:w="9072" w:type="dxa"/>
          </w:tcPr>
          <w:p w14:paraId="066894FB" w14:textId="77777777" w:rsidR="0012790F" w:rsidRDefault="0012790F" w:rsidP="0012790F">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12790F" w14:paraId="5FF001E7" w14:textId="77777777" w:rsidTr="00735C2C">
        <w:trPr>
          <w:trHeight w:val="324"/>
        </w:trPr>
        <w:tc>
          <w:tcPr>
            <w:tcW w:w="1076" w:type="dxa"/>
            <w:noWrap/>
          </w:tcPr>
          <w:p w14:paraId="1FD8301C" w14:textId="77777777" w:rsidR="0012790F" w:rsidRPr="0012790F" w:rsidRDefault="0012790F" w:rsidP="0012790F">
            <w:pPr>
              <w:rPr>
                <w:bCs/>
              </w:rPr>
            </w:pPr>
            <w:r w:rsidRPr="0012790F">
              <w:rPr>
                <w:bCs/>
              </w:rPr>
              <w:t>1.3.</w:t>
            </w:r>
          </w:p>
        </w:tc>
        <w:tc>
          <w:tcPr>
            <w:tcW w:w="9072" w:type="dxa"/>
          </w:tcPr>
          <w:p w14:paraId="43BA5F8A" w14:textId="77777777" w:rsidR="0012790F" w:rsidRDefault="0012790F" w:rsidP="008E2991">
            <w:pPr>
              <w:jc w:val="both"/>
            </w:pPr>
            <w:r>
              <w:t>tiekėjas turi pateikti nuorodą į gamintojo puslapį, kuriame yra tiksli pasiūlymą atitinkančios techninės ar programinės įrangos techninė specifikacija;</w:t>
            </w:r>
          </w:p>
        </w:tc>
      </w:tr>
      <w:tr w:rsidR="0012790F" w14:paraId="669911ED" w14:textId="77777777" w:rsidTr="00735C2C">
        <w:trPr>
          <w:trHeight w:val="324"/>
        </w:trPr>
        <w:tc>
          <w:tcPr>
            <w:tcW w:w="1076" w:type="dxa"/>
            <w:noWrap/>
          </w:tcPr>
          <w:p w14:paraId="1585F3C8" w14:textId="77777777" w:rsidR="0012790F" w:rsidRPr="0012790F" w:rsidRDefault="0012790F" w:rsidP="0012790F">
            <w:pPr>
              <w:rPr>
                <w:bCs/>
              </w:rPr>
            </w:pPr>
            <w:r w:rsidRPr="0012790F">
              <w:rPr>
                <w:bCs/>
              </w:rPr>
              <w:t>1.4.</w:t>
            </w:r>
          </w:p>
        </w:tc>
        <w:tc>
          <w:tcPr>
            <w:tcW w:w="9072" w:type="dxa"/>
          </w:tcPr>
          <w:p w14:paraId="4EE5F29B" w14:textId="77777777" w:rsidR="0012790F" w:rsidRDefault="0012790F" w:rsidP="0012790F">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12790F" w14:paraId="05BC97E0" w14:textId="77777777" w:rsidTr="00735C2C">
        <w:trPr>
          <w:trHeight w:val="324"/>
        </w:trPr>
        <w:tc>
          <w:tcPr>
            <w:tcW w:w="1076" w:type="dxa"/>
            <w:noWrap/>
          </w:tcPr>
          <w:p w14:paraId="1951A756" w14:textId="77777777" w:rsidR="0012790F" w:rsidRPr="0012790F" w:rsidRDefault="0012790F" w:rsidP="0012790F">
            <w:pPr>
              <w:rPr>
                <w:bCs/>
              </w:rPr>
            </w:pPr>
            <w:r w:rsidRPr="0012790F">
              <w:rPr>
                <w:bCs/>
              </w:rPr>
              <w:t>1.5.</w:t>
            </w:r>
          </w:p>
        </w:tc>
        <w:tc>
          <w:tcPr>
            <w:tcW w:w="9072" w:type="dxa"/>
          </w:tcPr>
          <w:p w14:paraId="6C8D59D8" w14:textId="77777777" w:rsidR="0012790F" w:rsidRDefault="0012790F" w:rsidP="0012790F">
            <w:pPr>
              <w:jc w:val="both"/>
            </w:pPr>
            <w:r>
              <w:t>tiekėjas į savo pasiūlymą turi įtraukti visą aparatinę ir programinę įrangą bei medžiagas, reikalingas šioje specifikacijoje nurodytiems reikalavimams įvykdyti;</w:t>
            </w:r>
          </w:p>
        </w:tc>
      </w:tr>
      <w:tr w:rsidR="0012790F" w14:paraId="3E66E2BC" w14:textId="77777777" w:rsidTr="00735C2C">
        <w:trPr>
          <w:trHeight w:val="324"/>
        </w:trPr>
        <w:tc>
          <w:tcPr>
            <w:tcW w:w="1076" w:type="dxa"/>
            <w:noWrap/>
          </w:tcPr>
          <w:p w14:paraId="2F1B2F23" w14:textId="77777777" w:rsidR="0012790F" w:rsidRPr="0012790F" w:rsidRDefault="0012790F" w:rsidP="0012790F">
            <w:pPr>
              <w:rPr>
                <w:bCs/>
              </w:rPr>
            </w:pPr>
            <w:r w:rsidRPr="0012790F">
              <w:rPr>
                <w:bCs/>
              </w:rPr>
              <w:t>1.6.</w:t>
            </w:r>
          </w:p>
        </w:tc>
        <w:tc>
          <w:tcPr>
            <w:tcW w:w="9072" w:type="dxa"/>
          </w:tcPr>
          <w:p w14:paraId="40EC257C" w14:textId="77777777" w:rsidR="0012790F" w:rsidRDefault="0012790F" w:rsidP="0012790F">
            <w:pPr>
              <w:jc w:val="both"/>
            </w:pPr>
            <w:r>
              <w:t xml:space="preserve">visos programinės įrangos licencija turi būti suteikiama neribotam laikui; </w:t>
            </w:r>
          </w:p>
        </w:tc>
      </w:tr>
      <w:tr w:rsidR="0012790F" w14:paraId="1685DABE" w14:textId="77777777" w:rsidTr="00735C2C">
        <w:trPr>
          <w:trHeight w:val="324"/>
        </w:trPr>
        <w:tc>
          <w:tcPr>
            <w:tcW w:w="1076" w:type="dxa"/>
            <w:noWrap/>
          </w:tcPr>
          <w:p w14:paraId="0C15143A" w14:textId="77777777" w:rsidR="0012790F" w:rsidRPr="0012790F" w:rsidRDefault="0012790F" w:rsidP="0012790F">
            <w:pPr>
              <w:rPr>
                <w:bCs/>
              </w:rPr>
            </w:pPr>
            <w:r w:rsidRPr="0012790F">
              <w:rPr>
                <w:bCs/>
              </w:rPr>
              <w:t>1.7.</w:t>
            </w:r>
          </w:p>
        </w:tc>
        <w:tc>
          <w:tcPr>
            <w:tcW w:w="9072" w:type="dxa"/>
          </w:tcPr>
          <w:p w14:paraId="1FB5A4F4" w14:textId="77777777" w:rsidR="0012790F" w:rsidRDefault="0012790F" w:rsidP="0012790F">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12790F" w14:paraId="53CADB48" w14:textId="77777777" w:rsidTr="00735C2C">
        <w:trPr>
          <w:trHeight w:val="324"/>
        </w:trPr>
        <w:tc>
          <w:tcPr>
            <w:tcW w:w="1076" w:type="dxa"/>
            <w:noWrap/>
          </w:tcPr>
          <w:p w14:paraId="2825640C" w14:textId="77777777" w:rsidR="0012790F" w:rsidRPr="0012790F" w:rsidRDefault="0012790F" w:rsidP="0012790F">
            <w:pPr>
              <w:rPr>
                <w:bCs/>
              </w:rPr>
            </w:pPr>
            <w:r w:rsidRPr="0012790F">
              <w:rPr>
                <w:bCs/>
              </w:rPr>
              <w:t>1.7.1.</w:t>
            </w:r>
          </w:p>
        </w:tc>
        <w:tc>
          <w:tcPr>
            <w:tcW w:w="9072" w:type="dxa"/>
          </w:tcPr>
          <w:p w14:paraId="3D7BDC9A" w14:textId="77777777" w:rsidR="0012790F" w:rsidRDefault="0012790F" w:rsidP="0012790F">
            <w:pPr>
              <w:jc w:val="both"/>
            </w:pPr>
            <w:r>
              <w:t>įranga grąžinama tiekėjui arba keičiama nauja lygiaverte ar geresne, tačiau saugumo reikalavimus atitinkančia įranga;</w:t>
            </w:r>
          </w:p>
        </w:tc>
      </w:tr>
      <w:tr w:rsidR="0012790F" w14:paraId="21E9C895" w14:textId="77777777" w:rsidTr="00735C2C">
        <w:trPr>
          <w:trHeight w:val="324"/>
        </w:trPr>
        <w:tc>
          <w:tcPr>
            <w:tcW w:w="1076" w:type="dxa"/>
            <w:noWrap/>
          </w:tcPr>
          <w:p w14:paraId="284B431B" w14:textId="77777777" w:rsidR="0012790F" w:rsidRPr="0012790F" w:rsidRDefault="0012790F" w:rsidP="0012790F">
            <w:pPr>
              <w:rPr>
                <w:bCs/>
              </w:rPr>
            </w:pPr>
            <w:r w:rsidRPr="0012790F">
              <w:rPr>
                <w:bCs/>
              </w:rPr>
              <w:t>1.7.2.</w:t>
            </w:r>
          </w:p>
        </w:tc>
        <w:tc>
          <w:tcPr>
            <w:tcW w:w="9072" w:type="dxa"/>
          </w:tcPr>
          <w:p w14:paraId="6A5A3680" w14:textId="77777777" w:rsidR="0012790F" w:rsidRDefault="0012790F" w:rsidP="0012790F">
            <w:pPr>
              <w:jc w:val="both"/>
            </w:pPr>
            <w:r>
              <w:t>tiekėjas padengia pirkimo proceso metu pirkėjo patirtą materialinę žalą;</w:t>
            </w:r>
          </w:p>
        </w:tc>
      </w:tr>
      <w:tr w:rsidR="0012790F" w14:paraId="1AA19FF7" w14:textId="77777777" w:rsidTr="00735C2C">
        <w:trPr>
          <w:trHeight w:val="324"/>
        </w:trPr>
        <w:tc>
          <w:tcPr>
            <w:tcW w:w="1076" w:type="dxa"/>
            <w:noWrap/>
          </w:tcPr>
          <w:p w14:paraId="20C0CE2D" w14:textId="77777777" w:rsidR="0012790F" w:rsidRPr="0012790F" w:rsidRDefault="0012790F" w:rsidP="0012790F">
            <w:pPr>
              <w:rPr>
                <w:bCs/>
              </w:rPr>
            </w:pPr>
            <w:r w:rsidRPr="0012790F">
              <w:rPr>
                <w:bCs/>
              </w:rPr>
              <w:t>1.8.</w:t>
            </w:r>
          </w:p>
        </w:tc>
        <w:tc>
          <w:tcPr>
            <w:tcW w:w="9072" w:type="dxa"/>
          </w:tcPr>
          <w:p w14:paraId="1FB26A38" w14:textId="77777777" w:rsidR="0012790F" w:rsidRPr="0012790F" w:rsidRDefault="0012790F" w:rsidP="008E2991">
            <w:pPr>
              <w:jc w:val="both"/>
            </w:pPr>
            <w:r w:rsidRPr="0012790F">
              <w:t>Programinė įranga turi būti pateikta oficialiu gamintojo patvirtintu keliu.</w:t>
            </w:r>
          </w:p>
        </w:tc>
      </w:tr>
      <w:tr w:rsidR="0012790F" w14:paraId="4A08FD54" w14:textId="77777777" w:rsidTr="00735C2C">
        <w:trPr>
          <w:trHeight w:val="324"/>
        </w:trPr>
        <w:tc>
          <w:tcPr>
            <w:tcW w:w="1076" w:type="dxa"/>
            <w:noWrap/>
          </w:tcPr>
          <w:p w14:paraId="4582945B" w14:textId="77777777" w:rsidR="0012790F" w:rsidRPr="0012790F" w:rsidRDefault="0012790F" w:rsidP="0012790F">
            <w:pPr>
              <w:rPr>
                <w:bCs/>
              </w:rPr>
            </w:pPr>
            <w:r w:rsidRPr="0012790F">
              <w:rPr>
                <w:bCs/>
              </w:rPr>
              <w:t>1.9.</w:t>
            </w:r>
          </w:p>
        </w:tc>
        <w:tc>
          <w:tcPr>
            <w:tcW w:w="9072" w:type="dxa"/>
          </w:tcPr>
          <w:p w14:paraId="3D8247CB" w14:textId="77777777" w:rsidR="0012790F" w:rsidRPr="0012790F" w:rsidRDefault="0012790F" w:rsidP="008E2991">
            <w:pPr>
              <w:jc w:val="both"/>
            </w:pPr>
            <w:r w:rsidRPr="0012790F">
              <w:t>Pirkimo objektas turi atitikti Lietuvos Respublikos viešųjų pirkimų įstatyme numatytus reikalavimus dėl grėsmių nacionaliniam saugumui;</w:t>
            </w:r>
          </w:p>
        </w:tc>
      </w:tr>
      <w:tr w:rsidR="0012790F" w14:paraId="7DAEFD53" w14:textId="77777777" w:rsidTr="00735C2C">
        <w:trPr>
          <w:trHeight w:val="324"/>
        </w:trPr>
        <w:tc>
          <w:tcPr>
            <w:tcW w:w="1076" w:type="dxa"/>
            <w:noWrap/>
          </w:tcPr>
          <w:p w14:paraId="55EB5D66" w14:textId="77777777" w:rsidR="0012790F" w:rsidRPr="0012790F" w:rsidRDefault="0012790F" w:rsidP="0012790F">
            <w:pPr>
              <w:rPr>
                <w:bCs/>
              </w:rPr>
            </w:pPr>
            <w:r w:rsidRPr="0012790F">
              <w:rPr>
                <w:bCs/>
              </w:rPr>
              <w:t>1.10.</w:t>
            </w:r>
          </w:p>
        </w:tc>
        <w:tc>
          <w:tcPr>
            <w:tcW w:w="9072" w:type="dxa"/>
          </w:tcPr>
          <w:p w14:paraId="416B02BF" w14:textId="77777777" w:rsidR="0012790F" w:rsidRPr="0012790F" w:rsidRDefault="0012790F" w:rsidP="008E2991">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41553A6B" w14:textId="77777777" w:rsidR="0012790F" w:rsidRPr="0012790F" w:rsidRDefault="0012790F" w:rsidP="008E2991">
            <w:pPr>
              <w:jc w:val="both"/>
            </w:pPr>
          </w:p>
        </w:tc>
      </w:tr>
      <w:tr w:rsidR="00BD5CB3" w:rsidRPr="00DD3E6C" w14:paraId="2F5DE138" w14:textId="77777777" w:rsidTr="00735C2C">
        <w:trPr>
          <w:trHeight w:val="57"/>
        </w:trPr>
        <w:tc>
          <w:tcPr>
            <w:tcW w:w="1076" w:type="dxa"/>
            <w:noWrap/>
          </w:tcPr>
          <w:p w14:paraId="577DE404" w14:textId="03525851" w:rsidR="006676B9" w:rsidRPr="00E84770" w:rsidRDefault="0048326B" w:rsidP="0048326B">
            <w:pPr>
              <w:jc w:val="both"/>
              <w:rPr>
                <w:b/>
              </w:rPr>
            </w:pPr>
            <w:r>
              <w:rPr>
                <w:b/>
              </w:rPr>
              <w:t>1</w:t>
            </w:r>
            <w:r w:rsidR="00BD5CB3" w:rsidRPr="00E84770">
              <w:rPr>
                <w:b/>
              </w:rPr>
              <w:t>.</w:t>
            </w:r>
          </w:p>
        </w:tc>
        <w:tc>
          <w:tcPr>
            <w:tcW w:w="9072" w:type="dxa"/>
          </w:tcPr>
          <w:p w14:paraId="13A1559B" w14:textId="77777777" w:rsidR="00BD5CB3" w:rsidRPr="007123A5" w:rsidRDefault="00BD5CB3" w:rsidP="00387D5F">
            <w:pPr>
              <w:tabs>
                <w:tab w:val="left" w:pos="390"/>
                <w:tab w:val="left" w:pos="1035"/>
                <w:tab w:val="left" w:pos="1500"/>
              </w:tabs>
              <w:jc w:val="both"/>
            </w:pPr>
            <w:r w:rsidRPr="007123A5">
              <w:rPr>
                <w:b/>
                <w:bCs/>
              </w:rPr>
              <w:t xml:space="preserve">Programinės įrangos licencijų </w:t>
            </w:r>
            <w:r>
              <w:rPr>
                <w:b/>
                <w:bCs/>
              </w:rPr>
              <w:t>palaikymas</w:t>
            </w:r>
            <w:r w:rsidRPr="007123A5">
              <w:rPr>
                <w:b/>
                <w:bCs/>
              </w:rPr>
              <w:t xml:space="preserve"> Nr.</w:t>
            </w:r>
            <w:r>
              <w:rPr>
                <w:b/>
                <w:bCs/>
              </w:rPr>
              <w:t xml:space="preserve"> 1</w:t>
            </w:r>
            <w:r w:rsidRPr="007123A5">
              <w:rPr>
                <w:b/>
                <w:bCs/>
              </w:rPr>
              <w:t xml:space="preserve"> (BVPŽ kodas 72261000-2)</w:t>
            </w:r>
          </w:p>
        </w:tc>
      </w:tr>
      <w:tr w:rsidR="00BD5CB3" w:rsidRPr="00DD3E6C" w14:paraId="40EA03CD" w14:textId="77777777" w:rsidTr="00735C2C">
        <w:trPr>
          <w:trHeight w:val="57"/>
        </w:trPr>
        <w:tc>
          <w:tcPr>
            <w:tcW w:w="1076" w:type="dxa"/>
            <w:noWrap/>
          </w:tcPr>
          <w:p w14:paraId="7E4BF4B7" w14:textId="649ADE8F" w:rsidR="00BD5CB3" w:rsidRPr="00F80DF6" w:rsidRDefault="006676B9" w:rsidP="00387D5F">
            <w:pPr>
              <w:jc w:val="both"/>
            </w:pPr>
            <w:r>
              <w:t>1.1.</w:t>
            </w:r>
          </w:p>
        </w:tc>
        <w:tc>
          <w:tcPr>
            <w:tcW w:w="9072" w:type="dxa"/>
          </w:tcPr>
          <w:p w14:paraId="460EB9FC"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 xml:space="preserve">Check Point“ programinės įrangos licencijų palaikymo pratęsimas (angl. </w:t>
            </w:r>
            <w:r w:rsidRPr="00745F76">
              <w:rPr>
                <w:rFonts w:eastAsiaTheme="minorHAnsi"/>
                <w:i/>
                <w:noProof/>
                <w:lang w:eastAsia="en-US"/>
              </w:rPr>
              <w:t>Software subscription</w:t>
            </w:r>
            <w:r w:rsidRPr="00745F76">
              <w:rPr>
                <w:rFonts w:eastAsiaTheme="minorHAnsi"/>
                <w:noProof/>
                <w:lang w:eastAsia="en-US"/>
              </w:rPr>
              <w:t>) visai programinei ir techninei įrangai esančiai „Check Point“ vartotojo sąskaitoje Nr. 6882702.</w:t>
            </w:r>
          </w:p>
          <w:p w14:paraId="3E01CB91"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 xml:space="preserve">Tiesioginis gamintojo palaikymo lygis: “Direct Enterprise Support Standard”. Aptarnavimas teikiamas darbo dienomis, darbo valandomis. Aptarnavimo paslaugos pratęsiamos visai programinei ir techninei įrangai esančioje paskyroje. Aptarnavimo paslaugos turi suteikti teisę perkančiosios organizacijos atstovams kreiptis tiesiogiai į gamintoją dėl aptarnavimo </w:t>
            </w:r>
            <w:r w:rsidRPr="00745F76">
              <w:rPr>
                <w:rFonts w:eastAsiaTheme="minorHAnsi"/>
                <w:noProof/>
                <w:lang w:eastAsia="en-US"/>
              </w:rPr>
              <w:lastRenderedPageBreak/>
              <w:t>paslaugų, gauti programinės įrangos atnaujinimus, gauti prieigą prie žinių duomenų bazės bei programinės įrangos atsisiuntimų, naudoti turimus programinius ir techninius sprendimus su nuolatinėmis (angl. Perpetual) programinės įrangos licencijomis.</w:t>
            </w:r>
          </w:p>
          <w:p w14:paraId="65EB5D67"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Programinės įrangos licencijų palaikymas (angl. Software Subscription) pratęsiamas CloudGuard Network virtual core licencijoms (24 vnt, licencijos numeris: 59FCEB985664) 12 vnt. licencijų pratęsimas pateikiamas su NGTX licencijų paketu ir 12 vnt. licencijų pratęsimas pateikiamas su NGFW licencijų paketu.</w:t>
            </w:r>
          </w:p>
          <w:p w14:paraId="116B2F8F"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 xml:space="preserve">Kartu pateikiamos metinės paslaugų modulių (angl. </w:t>
            </w:r>
            <w:r w:rsidRPr="00745F76">
              <w:rPr>
                <w:rFonts w:eastAsiaTheme="minorHAnsi"/>
                <w:i/>
                <w:noProof/>
                <w:lang w:eastAsia="en-US"/>
              </w:rPr>
              <w:t>service blade</w:t>
            </w:r>
            <w:r w:rsidRPr="00745F76">
              <w:rPr>
                <w:rFonts w:eastAsiaTheme="minorHAnsi"/>
                <w:noProof/>
                <w:lang w:eastAsia="en-US"/>
              </w:rPr>
              <w:t>) „IPS“ prenumeratos - 4 vnt.</w:t>
            </w:r>
          </w:p>
          <w:p w14:paraId="580C2D15"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Pateikiamas palaikymas Harmony Endpoint Basic licencijoms, ne mažiau kaip 2500 vnt.</w:t>
            </w:r>
          </w:p>
          <w:p w14:paraId="662A57F1"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Quantum Maestro palaikymas tiekiamas su NGTX licencijų paketu.</w:t>
            </w:r>
          </w:p>
          <w:p w14:paraId="017CA62D"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Quantum Spark įrenginiams palaikymas tiekiamas su NGFW licencijų paketu.</w:t>
            </w:r>
          </w:p>
          <w:p w14:paraId="25FFB5DC" w14:textId="77777777" w:rsidR="00745F76" w:rsidRPr="00745F76" w:rsidRDefault="00745F76" w:rsidP="00745F76">
            <w:pPr>
              <w:suppressAutoHyphens w:val="0"/>
              <w:ind w:right="-31"/>
              <w:jc w:val="both"/>
              <w:rPr>
                <w:rFonts w:eastAsiaTheme="minorHAnsi"/>
                <w:noProof/>
                <w:lang w:eastAsia="en-US"/>
              </w:rPr>
            </w:pPr>
            <w:r w:rsidRPr="00745F76">
              <w:rPr>
                <w:rFonts w:eastAsiaTheme="minorHAnsi"/>
                <w:noProof/>
                <w:lang w:eastAsia="en-US"/>
              </w:rPr>
              <w:t>Su aptarnavimo paslaugomis per nustatytą laikotarpį gamintojas tiesiogiai turi suteikti ne mažiau kaip 24 darbo dienas (192 valandas) paslaugų, įskaitant proaktyvias sprendimų veikimo patikras, įvertinant konfigūracijų ir programinės įrangos versijų atitikimą gerosioms praktikoms; konsultacijas sprendimų architektūros ir diegimo klausimais; pagalbą atliekant programinės įrangos atnaujinimus; paslaugas konfigūruojant ir diegiant sprendimus; pagalbą sprendžiant technines problemas; mokymus; paslaugas gamintojas turi teikti nuotoliniu būdu ir/arba atvykęs į vietą. Paslaugų teikimas organizuojamas per vieną dedidkuotą ir su perkančiosios organizacijos atstovais suderintą gamintojo atstovą. Gamintojas turi teikti ataskaitas apie atliktus darbus, bei pateikti valandų sąnaudų bei valandų balanso tarpinius duomenis.</w:t>
            </w:r>
          </w:p>
          <w:p w14:paraId="42F80BD0" w14:textId="5DF08486" w:rsidR="00BD5CB3" w:rsidRPr="00C85060" w:rsidRDefault="00745F76" w:rsidP="00745F76">
            <w:pPr>
              <w:tabs>
                <w:tab w:val="left" w:pos="390"/>
                <w:tab w:val="left" w:pos="1035"/>
                <w:tab w:val="left" w:pos="1500"/>
              </w:tabs>
              <w:jc w:val="both"/>
              <w:rPr>
                <w:bCs/>
              </w:rPr>
            </w:pPr>
            <w:r w:rsidRPr="00745F76">
              <w:rPr>
                <w:rFonts w:eastAsiaTheme="minorHAnsi"/>
                <w:noProof/>
                <w:lang w:eastAsia="en-US"/>
              </w:rPr>
              <w:t>Visai programinei įrangai palaikymas suteikiamas iki 2027 m. sausio mėnesio 1 dienos.</w:t>
            </w:r>
          </w:p>
        </w:tc>
      </w:tr>
      <w:tr w:rsidR="00BD5CB3" w:rsidRPr="00DD3E6C" w14:paraId="48B24811" w14:textId="77777777" w:rsidTr="00735C2C">
        <w:trPr>
          <w:trHeight w:val="57"/>
        </w:trPr>
        <w:tc>
          <w:tcPr>
            <w:tcW w:w="1076" w:type="dxa"/>
            <w:noWrap/>
          </w:tcPr>
          <w:p w14:paraId="6CA0B61F" w14:textId="6E784F5C" w:rsidR="00BD5CB3" w:rsidRPr="00F80DF6" w:rsidRDefault="00BD5CB3" w:rsidP="00387D5F">
            <w:pPr>
              <w:jc w:val="both"/>
            </w:pPr>
          </w:p>
        </w:tc>
        <w:tc>
          <w:tcPr>
            <w:tcW w:w="9072" w:type="dxa"/>
          </w:tcPr>
          <w:p w14:paraId="6C77BD9E" w14:textId="77777777" w:rsidR="00BD5CB3" w:rsidRDefault="00BD5CB3" w:rsidP="00387D5F">
            <w:pPr>
              <w:tabs>
                <w:tab w:val="left" w:pos="390"/>
                <w:tab w:val="left" w:pos="1035"/>
                <w:tab w:val="left" w:pos="1500"/>
              </w:tabs>
              <w:jc w:val="both"/>
            </w:pPr>
          </w:p>
        </w:tc>
      </w:tr>
      <w:tr w:rsidR="00BD5CB3" w:rsidRPr="00DD3E6C" w14:paraId="1CB0DF2A" w14:textId="77777777" w:rsidTr="00735C2C">
        <w:trPr>
          <w:trHeight w:val="57"/>
        </w:trPr>
        <w:tc>
          <w:tcPr>
            <w:tcW w:w="1076" w:type="dxa"/>
            <w:noWrap/>
          </w:tcPr>
          <w:p w14:paraId="7A837CC7" w14:textId="3AA0E532" w:rsidR="00BD5CB3" w:rsidRPr="00E84770" w:rsidRDefault="0048326B" w:rsidP="00387D5F">
            <w:pPr>
              <w:jc w:val="both"/>
              <w:rPr>
                <w:b/>
              </w:rPr>
            </w:pPr>
            <w:r>
              <w:rPr>
                <w:b/>
              </w:rPr>
              <w:t>2</w:t>
            </w:r>
            <w:r w:rsidR="00BD5CB3" w:rsidRPr="00E84770">
              <w:rPr>
                <w:b/>
              </w:rPr>
              <w:t>.</w:t>
            </w:r>
          </w:p>
        </w:tc>
        <w:tc>
          <w:tcPr>
            <w:tcW w:w="9072" w:type="dxa"/>
          </w:tcPr>
          <w:p w14:paraId="2156DEDF" w14:textId="77777777" w:rsidR="00BD5CB3" w:rsidRPr="007123A5" w:rsidRDefault="00BD5CB3" w:rsidP="00387D5F">
            <w:pPr>
              <w:tabs>
                <w:tab w:val="left" w:pos="390"/>
                <w:tab w:val="left" w:pos="1035"/>
                <w:tab w:val="left" w:pos="1500"/>
              </w:tabs>
              <w:jc w:val="both"/>
              <w:rPr>
                <w:b/>
                <w:bCs/>
              </w:rPr>
            </w:pPr>
            <w:r w:rsidRPr="007123A5">
              <w:rPr>
                <w:b/>
                <w:bCs/>
              </w:rPr>
              <w:t xml:space="preserve">Programinės įrangos licencijų </w:t>
            </w:r>
            <w:r w:rsidRPr="004D7AF2">
              <w:rPr>
                <w:b/>
                <w:bCs/>
              </w:rPr>
              <w:t>palaikymas</w:t>
            </w:r>
            <w:r w:rsidRPr="007123A5">
              <w:rPr>
                <w:b/>
                <w:bCs/>
              </w:rPr>
              <w:t xml:space="preserve"> Nr.</w:t>
            </w:r>
            <w:r>
              <w:rPr>
                <w:b/>
                <w:bCs/>
              </w:rPr>
              <w:t xml:space="preserve"> 2</w:t>
            </w:r>
            <w:r w:rsidRPr="007123A5">
              <w:rPr>
                <w:b/>
                <w:bCs/>
              </w:rPr>
              <w:t xml:space="preserve"> (BVPŽ kodas 72261000-2)</w:t>
            </w:r>
          </w:p>
        </w:tc>
      </w:tr>
      <w:tr w:rsidR="00BD5CB3" w:rsidRPr="00DD3E6C" w14:paraId="7287FF70" w14:textId="77777777" w:rsidTr="00735C2C">
        <w:trPr>
          <w:trHeight w:val="57"/>
        </w:trPr>
        <w:tc>
          <w:tcPr>
            <w:tcW w:w="1076" w:type="dxa"/>
            <w:noWrap/>
          </w:tcPr>
          <w:p w14:paraId="697E831C" w14:textId="7990087F" w:rsidR="00BD5CB3" w:rsidRDefault="006676B9" w:rsidP="00387D5F">
            <w:pPr>
              <w:jc w:val="both"/>
            </w:pPr>
            <w:r>
              <w:t>2.1.</w:t>
            </w:r>
          </w:p>
        </w:tc>
        <w:tc>
          <w:tcPr>
            <w:tcW w:w="9072" w:type="dxa"/>
          </w:tcPr>
          <w:p w14:paraId="3578B36C" w14:textId="2447B5F8" w:rsidR="00BD5CB3" w:rsidRDefault="00745F76" w:rsidP="00465256">
            <w:pPr>
              <w:tabs>
                <w:tab w:val="left" w:pos="390"/>
                <w:tab w:val="left" w:pos="1035"/>
                <w:tab w:val="left" w:pos="1500"/>
              </w:tabs>
              <w:jc w:val="both"/>
              <w:rPr>
                <w:b/>
                <w:bCs/>
              </w:rPr>
            </w:pPr>
            <w:r w:rsidRPr="00E628B6">
              <w:rPr>
                <w:b/>
                <w:noProof/>
              </w:rPr>
              <w:t>„Trellix Standard“</w:t>
            </w:r>
            <w:r w:rsidRPr="00E628B6">
              <w:rPr>
                <w:noProof/>
              </w:rPr>
              <w:t xml:space="preserve"> atnaujinimo ir licencijos palaikymo pratęsimas </w:t>
            </w:r>
            <w:r>
              <w:rPr>
                <w:noProof/>
              </w:rPr>
              <w:t>turi galioti iki 2027 m. gruodžio 31 d</w:t>
            </w:r>
            <w:r w:rsidRPr="00E628B6">
              <w:rPr>
                <w:noProof/>
              </w:rPr>
              <w:t xml:space="preserve">. Licencijos palaikymo pratęsimas privalo suteikti teisę be papildomo mokesčio gauti programinės įrangos parašus, pataisymus ir atnaujinimus (naujausias versijas) viso palaikymo pratęsimo metu. Pateikiama licencija ne mažiau kaip </w:t>
            </w:r>
            <w:r>
              <w:rPr>
                <w:noProof/>
              </w:rPr>
              <w:t>10</w:t>
            </w:r>
            <w:r w:rsidRPr="00E628B6">
              <w:rPr>
                <w:noProof/>
              </w:rPr>
              <w:t>810 darbo/tarnybinių stočių. Pirkėjo turim</w:t>
            </w:r>
            <w:r>
              <w:rPr>
                <w:noProof/>
              </w:rPr>
              <w:t>os</w:t>
            </w:r>
            <w:r w:rsidRPr="00E628B6">
              <w:rPr>
                <w:noProof/>
              </w:rPr>
              <w:t xml:space="preserve"> licencij</w:t>
            </w:r>
            <w:r>
              <w:rPr>
                <w:noProof/>
              </w:rPr>
              <w:t>os</w:t>
            </w:r>
            <w:r w:rsidRPr="00E628B6">
              <w:rPr>
                <w:noProof/>
              </w:rPr>
              <w:t xml:space="preserve"> galioja iki 2025-12-31</w:t>
            </w:r>
            <w:r>
              <w:rPr>
                <w:noProof/>
              </w:rPr>
              <w:t xml:space="preserve"> (5810 vnt.), iki 2025-10-17 (4000 vnt.) ir iki 2026-03-19 (1000 vnt.)</w:t>
            </w:r>
            <w:r w:rsidRPr="00E628B6">
              <w:rPr>
                <w:noProof/>
              </w:rPr>
              <w:t>.</w:t>
            </w:r>
          </w:p>
        </w:tc>
      </w:tr>
      <w:tr w:rsidR="00BD5CB3" w:rsidRPr="00DD3E6C" w14:paraId="26DFD6F5" w14:textId="77777777" w:rsidTr="00735C2C">
        <w:trPr>
          <w:trHeight w:val="57"/>
        </w:trPr>
        <w:tc>
          <w:tcPr>
            <w:tcW w:w="1076" w:type="dxa"/>
            <w:noWrap/>
          </w:tcPr>
          <w:p w14:paraId="665F5748" w14:textId="77777777" w:rsidR="00BD5CB3" w:rsidRPr="00957C66" w:rsidRDefault="00BD5CB3" w:rsidP="00387D5F">
            <w:pPr>
              <w:jc w:val="both"/>
            </w:pPr>
          </w:p>
        </w:tc>
        <w:tc>
          <w:tcPr>
            <w:tcW w:w="9072" w:type="dxa"/>
          </w:tcPr>
          <w:p w14:paraId="72A45F10" w14:textId="77777777" w:rsidR="00BD5CB3" w:rsidRPr="00957C66" w:rsidRDefault="00BD5CB3" w:rsidP="00387D5F">
            <w:pPr>
              <w:tabs>
                <w:tab w:val="left" w:pos="390"/>
                <w:tab w:val="left" w:pos="1035"/>
                <w:tab w:val="left" w:pos="1500"/>
              </w:tabs>
              <w:jc w:val="both"/>
              <w:rPr>
                <w:b/>
                <w:bCs/>
              </w:rPr>
            </w:pPr>
          </w:p>
        </w:tc>
      </w:tr>
      <w:tr w:rsidR="00BD5CB3" w:rsidRPr="00DD3E6C" w14:paraId="06993BBF" w14:textId="77777777" w:rsidTr="00735C2C">
        <w:trPr>
          <w:trHeight w:val="57"/>
        </w:trPr>
        <w:tc>
          <w:tcPr>
            <w:tcW w:w="1076" w:type="dxa"/>
            <w:noWrap/>
          </w:tcPr>
          <w:p w14:paraId="74464F71" w14:textId="77379AF7" w:rsidR="00BD5CB3" w:rsidRPr="00E84770" w:rsidRDefault="0048326B" w:rsidP="00387D5F">
            <w:pPr>
              <w:jc w:val="both"/>
              <w:rPr>
                <w:b/>
              </w:rPr>
            </w:pPr>
            <w:r>
              <w:rPr>
                <w:b/>
              </w:rPr>
              <w:t>3</w:t>
            </w:r>
            <w:r w:rsidR="00BD5CB3" w:rsidRPr="00E84770">
              <w:rPr>
                <w:b/>
              </w:rPr>
              <w:t>.</w:t>
            </w:r>
          </w:p>
        </w:tc>
        <w:tc>
          <w:tcPr>
            <w:tcW w:w="9072" w:type="dxa"/>
          </w:tcPr>
          <w:p w14:paraId="4862851B" w14:textId="77777777" w:rsidR="00BD5CB3" w:rsidRPr="007123A5" w:rsidRDefault="00BD5CB3" w:rsidP="00387D5F">
            <w:pPr>
              <w:tabs>
                <w:tab w:val="left" w:pos="390"/>
                <w:tab w:val="left" w:pos="1035"/>
                <w:tab w:val="left" w:pos="1500"/>
              </w:tabs>
              <w:jc w:val="both"/>
              <w:rPr>
                <w:b/>
                <w:bCs/>
              </w:rPr>
            </w:pPr>
            <w:r w:rsidRPr="007123A5">
              <w:rPr>
                <w:b/>
                <w:bCs/>
              </w:rPr>
              <w:t xml:space="preserve">Programinės įrangos licencijų </w:t>
            </w:r>
            <w:r w:rsidRPr="004D7AF2">
              <w:rPr>
                <w:b/>
                <w:bCs/>
              </w:rPr>
              <w:t>palaikymas</w:t>
            </w:r>
            <w:r w:rsidRPr="007123A5">
              <w:rPr>
                <w:b/>
                <w:bCs/>
              </w:rPr>
              <w:t xml:space="preserve"> Nr.</w:t>
            </w:r>
            <w:r>
              <w:rPr>
                <w:b/>
                <w:bCs/>
              </w:rPr>
              <w:t xml:space="preserve"> 3</w:t>
            </w:r>
            <w:r w:rsidRPr="007123A5">
              <w:rPr>
                <w:b/>
                <w:bCs/>
              </w:rPr>
              <w:t xml:space="preserve"> (BVPŽ kodas 72261000-2)</w:t>
            </w:r>
          </w:p>
        </w:tc>
      </w:tr>
      <w:tr w:rsidR="00F024E4" w:rsidRPr="00DD3E6C" w14:paraId="0588D1CD" w14:textId="77777777" w:rsidTr="00735C2C">
        <w:trPr>
          <w:trHeight w:val="57"/>
        </w:trPr>
        <w:tc>
          <w:tcPr>
            <w:tcW w:w="1076" w:type="dxa"/>
            <w:noWrap/>
          </w:tcPr>
          <w:p w14:paraId="22DFEB51" w14:textId="58113EB2" w:rsidR="00F024E4" w:rsidRPr="00A873DF" w:rsidRDefault="006676B9" w:rsidP="00F024E4">
            <w:pPr>
              <w:jc w:val="both"/>
            </w:pPr>
            <w:r>
              <w:t>3.1.</w:t>
            </w:r>
          </w:p>
        </w:tc>
        <w:tc>
          <w:tcPr>
            <w:tcW w:w="9072" w:type="dxa"/>
          </w:tcPr>
          <w:p w14:paraId="2AF148F6" w14:textId="04FB8810" w:rsidR="00F024E4" w:rsidRPr="00C85060" w:rsidRDefault="001E7136" w:rsidP="00F024E4">
            <w:pPr>
              <w:tabs>
                <w:tab w:val="left" w:pos="390"/>
                <w:tab w:val="left" w:pos="1035"/>
                <w:tab w:val="left" w:pos="1500"/>
              </w:tabs>
              <w:jc w:val="both"/>
              <w:rPr>
                <w:rFonts w:eastAsia="Calibri"/>
                <w:lang w:eastAsia="en-US"/>
              </w:rPr>
            </w:pPr>
            <w:r w:rsidRPr="00E628B6">
              <w:rPr>
                <w:b/>
                <w:noProof/>
              </w:rPr>
              <w:t>„Trustwave Secure Email Gateway (MailMarshal SMTP)“</w:t>
            </w:r>
            <w:r w:rsidRPr="00E628B6">
              <w:rPr>
                <w:noProof/>
              </w:rPr>
              <w:t xml:space="preserve"> 2 vnt. programinės įrangos licencijos palaikymo pratęsimas 12 mėn. laikotarpiui. Licencijos palaikymo pratęsimas privalo suteikti teisę be papildomo mokesčio gauti programinės įrangos pataisymus ir atnaujinimus (naujausias versijas) viso palaikymo pratęsimo metu. Pateikiama licencija turi užtikrinti saugumą nemažiau nei 2500 pašto dėžučių. Pirkėjo turimos licencijos galioja iki 2025-12-31 ir 2025-12-16.</w:t>
            </w:r>
          </w:p>
        </w:tc>
      </w:tr>
      <w:tr w:rsidR="00F024E4" w:rsidRPr="00DD3E6C" w14:paraId="64811541" w14:textId="77777777" w:rsidTr="00735C2C">
        <w:trPr>
          <w:trHeight w:val="57"/>
        </w:trPr>
        <w:tc>
          <w:tcPr>
            <w:tcW w:w="1076" w:type="dxa"/>
            <w:noWrap/>
          </w:tcPr>
          <w:p w14:paraId="0211530B" w14:textId="77777777" w:rsidR="00F024E4" w:rsidRPr="00D827E0" w:rsidRDefault="00F024E4" w:rsidP="00F024E4">
            <w:pPr>
              <w:jc w:val="both"/>
              <w:rPr>
                <w:highlight w:val="yellow"/>
              </w:rPr>
            </w:pPr>
          </w:p>
        </w:tc>
        <w:tc>
          <w:tcPr>
            <w:tcW w:w="9072" w:type="dxa"/>
          </w:tcPr>
          <w:p w14:paraId="6DAB6CFD" w14:textId="77777777" w:rsidR="00F024E4" w:rsidRPr="00D827E0" w:rsidRDefault="00F024E4" w:rsidP="00F024E4">
            <w:pPr>
              <w:tabs>
                <w:tab w:val="left" w:pos="390"/>
                <w:tab w:val="left" w:pos="1035"/>
                <w:tab w:val="left" w:pos="1500"/>
              </w:tabs>
              <w:jc w:val="both"/>
              <w:rPr>
                <w:b/>
                <w:bCs/>
                <w:highlight w:val="yellow"/>
              </w:rPr>
            </w:pPr>
          </w:p>
        </w:tc>
      </w:tr>
      <w:tr w:rsidR="00F024E4" w:rsidRPr="00DD3E6C" w14:paraId="3F058ADE" w14:textId="77777777" w:rsidTr="00735C2C">
        <w:trPr>
          <w:trHeight w:val="57"/>
        </w:trPr>
        <w:tc>
          <w:tcPr>
            <w:tcW w:w="1076" w:type="dxa"/>
            <w:noWrap/>
          </w:tcPr>
          <w:p w14:paraId="47194C62" w14:textId="5B58158D" w:rsidR="00F024E4" w:rsidRPr="00A873DF" w:rsidRDefault="0048326B" w:rsidP="00F024E4">
            <w:pPr>
              <w:jc w:val="both"/>
            </w:pPr>
            <w:r>
              <w:rPr>
                <w:b/>
              </w:rPr>
              <w:t>4</w:t>
            </w:r>
            <w:r w:rsidR="00F024E4" w:rsidRPr="00E84770">
              <w:rPr>
                <w:b/>
              </w:rPr>
              <w:t>.</w:t>
            </w:r>
          </w:p>
        </w:tc>
        <w:tc>
          <w:tcPr>
            <w:tcW w:w="9072" w:type="dxa"/>
          </w:tcPr>
          <w:p w14:paraId="3094296A" w14:textId="77777777" w:rsidR="00F024E4" w:rsidRPr="00D865FA" w:rsidRDefault="00F024E4" w:rsidP="00F024E4">
            <w:pPr>
              <w:tabs>
                <w:tab w:val="left" w:pos="390"/>
                <w:tab w:val="left" w:pos="1035"/>
                <w:tab w:val="left" w:pos="1500"/>
              </w:tabs>
              <w:jc w:val="both"/>
              <w:rPr>
                <w:rFonts w:eastAsia="Calibri"/>
                <w:b/>
                <w:bCs/>
                <w:lang w:eastAsia="en-US"/>
              </w:rPr>
            </w:pPr>
            <w:r w:rsidRPr="007123A5">
              <w:rPr>
                <w:b/>
                <w:bCs/>
              </w:rPr>
              <w:t xml:space="preserve">Programinės įrangos licencijų </w:t>
            </w:r>
            <w:r w:rsidRPr="004D7AF2">
              <w:rPr>
                <w:b/>
                <w:bCs/>
              </w:rPr>
              <w:t>palaikymas</w:t>
            </w:r>
            <w:r w:rsidRPr="007123A5">
              <w:rPr>
                <w:b/>
                <w:bCs/>
              </w:rPr>
              <w:t xml:space="preserve"> Nr.</w:t>
            </w:r>
            <w:r>
              <w:rPr>
                <w:b/>
                <w:bCs/>
              </w:rPr>
              <w:t xml:space="preserve"> 4</w:t>
            </w:r>
            <w:r w:rsidRPr="007123A5">
              <w:rPr>
                <w:b/>
                <w:bCs/>
              </w:rPr>
              <w:t xml:space="preserve"> (BVPŽ kodas 72261000-2)</w:t>
            </w:r>
          </w:p>
        </w:tc>
      </w:tr>
      <w:tr w:rsidR="003B1779" w:rsidRPr="00DD3E6C" w14:paraId="6963EB99" w14:textId="77777777" w:rsidTr="00735C2C">
        <w:trPr>
          <w:trHeight w:val="57"/>
        </w:trPr>
        <w:tc>
          <w:tcPr>
            <w:tcW w:w="1076" w:type="dxa"/>
            <w:noWrap/>
          </w:tcPr>
          <w:p w14:paraId="42FB74A9" w14:textId="71B555F5" w:rsidR="003B1779" w:rsidRPr="00F80DF6" w:rsidRDefault="003B1779" w:rsidP="003B1779">
            <w:pPr>
              <w:jc w:val="both"/>
              <w:rPr>
                <w:highlight w:val="yellow"/>
              </w:rPr>
            </w:pPr>
            <w:r w:rsidRPr="006676B9">
              <w:t>4.1.</w:t>
            </w:r>
          </w:p>
        </w:tc>
        <w:tc>
          <w:tcPr>
            <w:tcW w:w="9072" w:type="dxa"/>
          </w:tcPr>
          <w:p w14:paraId="06A2D4F3" w14:textId="67B7A71E" w:rsidR="003B1779" w:rsidRPr="00320A2D" w:rsidRDefault="003B1779" w:rsidP="003B1779">
            <w:pPr>
              <w:ind w:right="-31"/>
              <w:jc w:val="both"/>
              <w:rPr>
                <w:noProof/>
              </w:rPr>
            </w:pPr>
            <w:r w:rsidRPr="00320A2D">
              <w:rPr>
                <w:b/>
                <w:bCs/>
                <w:noProof/>
              </w:rPr>
              <w:t>„Omnissa Workspace ONE Advanced“</w:t>
            </w:r>
            <w:r w:rsidRPr="00320A2D">
              <w:rPr>
                <w:bCs/>
                <w:noProof/>
              </w:rPr>
              <w:t xml:space="preserve"> </w:t>
            </w:r>
            <w:r w:rsidRPr="00320A2D">
              <w:rPr>
                <w:noProof/>
              </w:rPr>
              <w:t xml:space="preserve">atnaujinimo ir licencijos palaikymo pratęsimas </w:t>
            </w:r>
            <w:r w:rsidRPr="00320A2D">
              <w:rPr>
                <w:bCs/>
                <w:noProof/>
              </w:rPr>
              <w:t>12 mėn. laikotarpiui.</w:t>
            </w:r>
            <w:r>
              <w:rPr>
                <w:bCs/>
                <w:noProof/>
              </w:rPr>
              <w:t xml:space="preserve"> </w:t>
            </w:r>
            <w:r w:rsidRPr="00320A2D">
              <w:rPr>
                <w:noProof/>
              </w:rPr>
              <w:t>Licencijos palaikymo pratęsimas privalo suteikti teisę be papildomo mokesčio gauti programinės įrangos parašus, pataisymus ir atnaujinimus (naujausias versijas) viso palaikymo pratęsimo metu. Pateikiama licencija ne mažiau kaip 2000 įrenginių.</w:t>
            </w:r>
          </w:p>
          <w:p w14:paraId="43B74878" w14:textId="2FD02474" w:rsidR="003B1779" w:rsidRPr="000B2EEC" w:rsidRDefault="003B1779" w:rsidP="003B1779">
            <w:pPr>
              <w:suppressAutoHyphens w:val="0"/>
              <w:spacing w:after="120"/>
              <w:jc w:val="both"/>
              <w:rPr>
                <w:rFonts w:eastAsia="Calibri"/>
                <w:lang w:eastAsia="en-US"/>
              </w:rPr>
            </w:pPr>
            <w:r w:rsidRPr="00320A2D">
              <w:rPr>
                <w:bCs/>
                <w:noProof/>
              </w:rPr>
              <w:t>Visai programinei įrangai palaikymas suteikiamas nuo 2025 m. gruodžio mėnesio 13 dienos.</w:t>
            </w:r>
          </w:p>
        </w:tc>
      </w:tr>
      <w:tr w:rsidR="003B1779" w:rsidRPr="00DD3E6C" w14:paraId="08AA5683" w14:textId="77777777" w:rsidTr="00735C2C">
        <w:trPr>
          <w:trHeight w:val="57"/>
        </w:trPr>
        <w:tc>
          <w:tcPr>
            <w:tcW w:w="1076" w:type="dxa"/>
            <w:noWrap/>
          </w:tcPr>
          <w:p w14:paraId="39523BC7" w14:textId="72B16E1B" w:rsidR="003B1779" w:rsidRPr="00E84770" w:rsidRDefault="003B1779" w:rsidP="003B1779">
            <w:pPr>
              <w:jc w:val="both"/>
              <w:rPr>
                <w:b/>
              </w:rPr>
            </w:pPr>
            <w:r>
              <w:rPr>
                <w:b/>
              </w:rPr>
              <w:t>5</w:t>
            </w:r>
            <w:r w:rsidRPr="00E84770">
              <w:rPr>
                <w:b/>
              </w:rPr>
              <w:t>.</w:t>
            </w:r>
          </w:p>
        </w:tc>
        <w:tc>
          <w:tcPr>
            <w:tcW w:w="9072" w:type="dxa"/>
          </w:tcPr>
          <w:p w14:paraId="22CC0A0D" w14:textId="77777777" w:rsidR="003B1779" w:rsidRPr="00EC07E6" w:rsidRDefault="003B1779" w:rsidP="003B1779">
            <w:pPr>
              <w:tabs>
                <w:tab w:val="left" w:pos="390"/>
                <w:tab w:val="left" w:pos="1035"/>
                <w:tab w:val="left" w:pos="1500"/>
              </w:tabs>
              <w:jc w:val="both"/>
              <w:rPr>
                <w:b/>
                <w:bCs/>
              </w:rPr>
            </w:pPr>
            <w:r w:rsidRPr="00EC07E6">
              <w:rPr>
                <w:b/>
                <w:bCs/>
              </w:rPr>
              <w:t xml:space="preserve">Programinės įrangos licencijų </w:t>
            </w:r>
            <w:r w:rsidRPr="004D7AF2">
              <w:rPr>
                <w:b/>
                <w:bCs/>
              </w:rPr>
              <w:t>palaikymas</w:t>
            </w:r>
            <w:r w:rsidRPr="00EC07E6">
              <w:rPr>
                <w:b/>
                <w:bCs/>
              </w:rPr>
              <w:t xml:space="preserve"> Nr.</w:t>
            </w:r>
            <w:r>
              <w:rPr>
                <w:b/>
                <w:bCs/>
              </w:rPr>
              <w:t xml:space="preserve"> 5</w:t>
            </w:r>
            <w:r w:rsidRPr="00EC07E6">
              <w:rPr>
                <w:b/>
                <w:bCs/>
              </w:rPr>
              <w:t xml:space="preserve"> (BVPŽ kodas 72261000-2)</w:t>
            </w:r>
          </w:p>
        </w:tc>
      </w:tr>
      <w:tr w:rsidR="003B1779" w:rsidRPr="00DD3E6C" w14:paraId="64AE2B2E" w14:textId="77777777" w:rsidTr="00735C2C">
        <w:trPr>
          <w:trHeight w:val="57"/>
        </w:trPr>
        <w:tc>
          <w:tcPr>
            <w:tcW w:w="1076" w:type="dxa"/>
            <w:noWrap/>
          </w:tcPr>
          <w:p w14:paraId="104674E4" w14:textId="01D0D0CD" w:rsidR="003B1779" w:rsidRPr="00EC07E6" w:rsidRDefault="003B1779" w:rsidP="003B1779">
            <w:pPr>
              <w:jc w:val="both"/>
            </w:pPr>
            <w:r>
              <w:t>5.1.</w:t>
            </w:r>
          </w:p>
        </w:tc>
        <w:tc>
          <w:tcPr>
            <w:tcW w:w="9072" w:type="dxa"/>
          </w:tcPr>
          <w:p w14:paraId="5D7B22ED" w14:textId="77777777" w:rsidR="003B1779" w:rsidRDefault="00AA554D" w:rsidP="003B1779">
            <w:pPr>
              <w:tabs>
                <w:tab w:val="left" w:pos="390"/>
                <w:tab w:val="left" w:pos="1035"/>
                <w:tab w:val="left" w:pos="1500"/>
              </w:tabs>
              <w:jc w:val="both"/>
              <w:rPr>
                <w:noProof/>
              </w:rPr>
            </w:pPr>
            <w:r w:rsidRPr="004904F0">
              <w:rPr>
                <w:noProof/>
              </w:rPr>
              <w:t>IT infrastruktūros stebėjimo programinės įrangos „</w:t>
            </w:r>
            <w:r w:rsidRPr="004904F0">
              <w:rPr>
                <w:b/>
                <w:noProof/>
              </w:rPr>
              <w:t>Nagios XI Enterprise Edition“</w:t>
            </w:r>
            <w:r w:rsidRPr="004904F0">
              <w:rPr>
                <w:noProof/>
              </w:rPr>
              <w:t xml:space="preserve"> (500 objektų) licencija, galiojanti ne trumpiau nei 12 mėn. laikotarpiui. Licencijos palaikymas privalo suteikti teisę be papildomo mokesčio gauti programinės įrangos pataisymus ir </w:t>
            </w:r>
            <w:r w:rsidRPr="004904F0">
              <w:rPr>
                <w:noProof/>
              </w:rPr>
              <w:lastRenderedPageBreak/>
              <w:t>atnaujinimus (naujausias versijas) viso licencijos palaikymo metu. Pirkėjo turima licencija galioja iki 2025-12-10. Serijinis numeris VSSPTM.</w:t>
            </w:r>
          </w:p>
          <w:p w14:paraId="485E4C9E" w14:textId="4B830BDD" w:rsidR="00AA554D" w:rsidRPr="00AF250F" w:rsidRDefault="00AA554D" w:rsidP="003B1779">
            <w:pPr>
              <w:tabs>
                <w:tab w:val="left" w:pos="390"/>
                <w:tab w:val="left" w:pos="1035"/>
                <w:tab w:val="left" w:pos="1500"/>
              </w:tabs>
              <w:jc w:val="both"/>
              <w:rPr>
                <w:rFonts w:eastAsia="Calibri"/>
                <w:lang w:eastAsia="en-US"/>
              </w:rPr>
            </w:pPr>
          </w:p>
        </w:tc>
      </w:tr>
      <w:tr w:rsidR="003B1779" w:rsidRPr="00DD3E6C" w14:paraId="1B736BDB" w14:textId="77777777" w:rsidTr="00735C2C">
        <w:trPr>
          <w:trHeight w:val="57"/>
        </w:trPr>
        <w:tc>
          <w:tcPr>
            <w:tcW w:w="1076" w:type="dxa"/>
            <w:noWrap/>
          </w:tcPr>
          <w:p w14:paraId="51167E42" w14:textId="424BE46C" w:rsidR="003B1779" w:rsidRPr="00EC07E6" w:rsidRDefault="003B1779" w:rsidP="003B1779">
            <w:pPr>
              <w:jc w:val="both"/>
            </w:pPr>
          </w:p>
        </w:tc>
        <w:tc>
          <w:tcPr>
            <w:tcW w:w="9072" w:type="dxa"/>
          </w:tcPr>
          <w:p w14:paraId="66F68C5B" w14:textId="3343922F" w:rsidR="003B1779" w:rsidRPr="00EC07E6" w:rsidRDefault="003B1779" w:rsidP="003B1779">
            <w:pPr>
              <w:tabs>
                <w:tab w:val="left" w:pos="390"/>
                <w:tab w:val="left" w:pos="1035"/>
                <w:tab w:val="left" w:pos="1500"/>
              </w:tabs>
              <w:jc w:val="both"/>
              <w:rPr>
                <w:b/>
                <w:bCs/>
              </w:rPr>
            </w:pPr>
          </w:p>
        </w:tc>
      </w:tr>
      <w:tr w:rsidR="003B1779" w:rsidRPr="00DD3E6C" w14:paraId="043B9D04" w14:textId="77777777" w:rsidTr="00735C2C">
        <w:trPr>
          <w:trHeight w:val="57"/>
        </w:trPr>
        <w:tc>
          <w:tcPr>
            <w:tcW w:w="1076" w:type="dxa"/>
            <w:noWrap/>
          </w:tcPr>
          <w:p w14:paraId="33EB322B" w14:textId="77777777" w:rsidR="003B1779" w:rsidRDefault="003B1779" w:rsidP="003B1779">
            <w:pPr>
              <w:jc w:val="both"/>
            </w:pPr>
          </w:p>
        </w:tc>
        <w:tc>
          <w:tcPr>
            <w:tcW w:w="9072" w:type="dxa"/>
          </w:tcPr>
          <w:p w14:paraId="60F07815" w14:textId="77777777" w:rsidR="003B1779" w:rsidRDefault="003B1779" w:rsidP="003B1779">
            <w:pPr>
              <w:tabs>
                <w:tab w:val="left" w:pos="390"/>
                <w:tab w:val="left" w:pos="1035"/>
                <w:tab w:val="left" w:pos="1500"/>
              </w:tabs>
              <w:jc w:val="both"/>
              <w:rPr>
                <w:rFonts w:eastAsia="Calibri"/>
                <w:b/>
                <w:bCs/>
                <w:lang w:eastAsia="en-US"/>
              </w:rPr>
            </w:pPr>
          </w:p>
        </w:tc>
      </w:tr>
      <w:tr w:rsidR="003B1779" w:rsidRPr="00DD3E6C" w14:paraId="745EE4EC" w14:textId="77777777" w:rsidTr="00735C2C">
        <w:trPr>
          <w:trHeight w:val="57"/>
        </w:trPr>
        <w:tc>
          <w:tcPr>
            <w:tcW w:w="1076" w:type="dxa"/>
            <w:noWrap/>
          </w:tcPr>
          <w:p w14:paraId="4EE14806" w14:textId="54E9386D" w:rsidR="003B1779" w:rsidRPr="002139E0" w:rsidRDefault="003B1779" w:rsidP="003B1779">
            <w:pPr>
              <w:jc w:val="both"/>
              <w:rPr>
                <w:b/>
              </w:rPr>
            </w:pPr>
            <w:r>
              <w:rPr>
                <w:b/>
              </w:rPr>
              <w:t>6</w:t>
            </w:r>
            <w:r w:rsidRPr="002139E0">
              <w:rPr>
                <w:b/>
              </w:rPr>
              <w:t xml:space="preserve">. </w:t>
            </w:r>
          </w:p>
        </w:tc>
        <w:tc>
          <w:tcPr>
            <w:tcW w:w="9072" w:type="dxa"/>
          </w:tcPr>
          <w:p w14:paraId="3394F3EF" w14:textId="22D46609" w:rsidR="003B1779" w:rsidRPr="00D865FA" w:rsidRDefault="003B1779" w:rsidP="003B1779">
            <w:pPr>
              <w:tabs>
                <w:tab w:val="left" w:pos="390"/>
                <w:tab w:val="left" w:pos="1035"/>
                <w:tab w:val="left" w:pos="1500"/>
              </w:tabs>
              <w:jc w:val="both"/>
              <w:rPr>
                <w:rFonts w:eastAsia="Calibri"/>
                <w:b/>
                <w:bCs/>
                <w:lang w:eastAsia="en-US"/>
              </w:rPr>
            </w:pPr>
            <w:r w:rsidRPr="002139E0">
              <w:rPr>
                <w:rFonts w:eastAsia="Calibri"/>
                <w:b/>
                <w:bCs/>
                <w:lang w:eastAsia="en-US"/>
              </w:rPr>
              <w:t>Programinės įrangos licencijų pratęsimas Nr.</w:t>
            </w:r>
            <w:r>
              <w:rPr>
                <w:rFonts w:eastAsia="Calibri"/>
                <w:b/>
                <w:bCs/>
                <w:lang w:eastAsia="en-US"/>
              </w:rPr>
              <w:t xml:space="preserve"> 6 </w:t>
            </w:r>
            <w:r w:rsidRPr="002139E0">
              <w:rPr>
                <w:rFonts w:eastAsia="Calibri"/>
                <w:b/>
                <w:bCs/>
                <w:lang w:eastAsia="en-US"/>
              </w:rPr>
              <w:t>(BVPŽ kodas 72261000-2)</w:t>
            </w:r>
          </w:p>
        </w:tc>
      </w:tr>
      <w:tr w:rsidR="003B1779" w:rsidRPr="00DD3E6C" w14:paraId="08D2A7CD" w14:textId="77777777" w:rsidTr="00735C2C">
        <w:trPr>
          <w:trHeight w:val="57"/>
        </w:trPr>
        <w:tc>
          <w:tcPr>
            <w:tcW w:w="1076" w:type="dxa"/>
            <w:noWrap/>
          </w:tcPr>
          <w:p w14:paraId="7AE5EF31" w14:textId="3AF384A1" w:rsidR="003B1779" w:rsidRDefault="003B1779" w:rsidP="003B1779">
            <w:pPr>
              <w:jc w:val="both"/>
            </w:pPr>
            <w:r>
              <w:t>6.1.</w:t>
            </w:r>
          </w:p>
        </w:tc>
        <w:tc>
          <w:tcPr>
            <w:tcW w:w="9072" w:type="dxa"/>
          </w:tcPr>
          <w:p w14:paraId="621633EB" w14:textId="7E9BC79D" w:rsidR="003B1779" w:rsidRPr="002F0EE1" w:rsidRDefault="005E1F77" w:rsidP="003B1779">
            <w:pPr>
              <w:tabs>
                <w:tab w:val="left" w:pos="390"/>
                <w:tab w:val="left" w:pos="1035"/>
                <w:tab w:val="left" w:pos="1500"/>
              </w:tabs>
              <w:jc w:val="both"/>
              <w:rPr>
                <w:rFonts w:eastAsia="Calibri"/>
                <w:bCs/>
                <w:lang w:eastAsia="en-US"/>
              </w:rPr>
            </w:pPr>
            <w:r w:rsidRPr="00AA2F49">
              <w:rPr>
                <w:b/>
                <w:noProof/>
              </w:rPr>
              <w:t>„Cisco AnyConnect User Plus Perpetual“</w:t>
            </w:r>
            <w:r w:rsidRPr="004904F0">
              <w:rPr>
                <w:noProof/>
              </w:rPr>
              <w:t xml:space="preserve"> licencijos galiojimo pratęsimas 36 mėn. laikotarpiui. Licencijos galiojimo pratęsimas privalo suteikti teisę be papildomo mokesčio gauti programinės įrangos pataisymus ir atnaujinimus (naujausias versijas) viso galiojimo pratęsimo metu. Pateikiama licencija nemažiau nei 5000 vartotojų.</w:t>
            </w:r>
          </w:p>
        </w:tc>
      </w:tr>
    </w:tbl>
    <w:p w14:paraId="4748B9CB" w14:textId="77777777" w:rsidR="005E1F77" w:rsidRDefault="005E1F77" w:rsidP="0048326B">
      <w:pPr>
        <w:suppressAutoHyphens w:val="0"/>
        <w:contextualSpacing/>
        <w:jc w:val="both"/>
        <w:rPr>
          <w:rFonts w:eastAsia="Calibri"/>
          <w:szCs w:val="22"/>
          <w:lang w:eastAsia="en-US"/>
        </w:rPr>
      </w:pPr>
    </w:p>
    <w:p w14:paraId="73F48515" w14:textId="77777777" w:rsidR="005E1F77" w:rsidRDefault="005E1F77" w:rsidP="0048326B">
      <w:pPr>
        <w:suppressAutoHyphens w:val="0"/>
        <w:contextualSpacing/>
        <w:jc w:val="both"/>
        <w:rPr>
          <w:rFonts w:eastAsia="Calibri"/>
          <w:szCs w:val="22"/>
          <w:lang w:eastAsia="en-US"/>
        </w:rPr>
      </w:pPr>
    </w:p>
    <w:tbl>
      <w:tblPr>
        <w:tblW w:w="98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9387"/>
      </w:tblGrid>
      <w:tr w:rsidR="005B54FB" w:rsidRPr="005B54FB" w14:paraId="1228E02C" w14:textId="77777777" w:rsidTr="00735C2C">
        <w:trPr>
          <w:trHeight w:val="325"/>
        </w:trPr>
        <w:tc>
          <w:tcPr>
            <w:tcW w:w="503" w:type="dxa"/>
            <w:tcBorders>
              <w:top w:val="nil"/>
              <w:left w:val="nil"/>
              <w:bottom w:val="nil"/>
              <w:right w:val="nil"/>
            </w:tcBorders>
            <w:noWrap/>
          </w:tcPr>
          <w:p w14:paraId="4A083986" w14:textId="77777777" w:rsidR="005B54FB" w:rsidRPr="005B54FB" w:rsidRDefault="005B54FB" w:rsidP="00735C2C">
            <w:pPr>
              <w:suppressAutoHyphens w:val="0"/>
              <w:ind w:left="-615" w:firstLine="533"/>
              <w:rPr>
                <w:rFonts w:eastAsiaTheme="minorHAnsi"/>
                <w:b/>
                <w:noProof/>
                <w:lang w:eastAsia="en-US"/>
              </w:rPr>
            </w:pPr>
            <w:r w:rsidRPr="005B54FB">
              <w:rPr>
                <w:rFonts w:eastAsiaTheme="minorHAnsi"/>
                <w:b/>
                <w:noProof/>
                <w:lang w:eastAsia="en-US"/>
              </w:rPr>
              <w:t>7.</w:t>
            </w:r>
          </w:p>
        </w:tc>
        <w:tc>
          <w:tcPr>
            <w:tcW w:w="9387" w:type="dxa"/>
            <w:tcBorders>
              <w:top w:val="nil"/>
              <w:left w:val="nil"/>
              <w:bottom w:val="nil"/>
              <w:right w:val="nil"/>
            </w:tcBorders>
          </w:tcPr>
          <w:p w14:paraId="38939E33" w14:textId="77777777" w:rsidR="005B54FB" w:rsidRPr="005B54FB" w:rsidRDefault="005B54FB" w:rsidP="00735C2C">
            <w:pPr>
              <w:suppressAutoHyphens w:val="0"/>
              <w:jc w:val="both"/>
              <w:rPr>
                <w:rFonts w:eastAsiaTheme="minorHAnsi"/>
                <w:b/>
                <w:noProof/>
                <w:lang w:eastAsia="en-US"/>
              </w:rPr>
            </w:pPr>
            <w:r w:rsidRPr="005B54FB">
              <w:rPr>
                <w:rFonts w:eastAsiaTheme="minorHAnsi"/>
                <w:b/>
                <w:noProof/>
                <w:lang w:eastAsia="en-US"/>
              </w:rPr>
              <w:t>Programinės įrangos licencijų palaikymas Nr. 7 (BVPŽ kodas 72261000-2)</w:t>
            </w:r>
          </w:p>
        </w:tc>
      </w:tr>
      <w:tr w:rsidR="005B54FB" w:rsidRPr="005B54FB" w14:paraId="0C2B9616" w14:textId="77777777" w:rsidTr="00735C2C">
        <w:trPr>
          <w:trHeight w:val="325"/>
        </w:trPr>
        <w:tc>
          <w:tcPr>
            <w:tcW w:w="503" w:type="dxa"/>
            <w:tcBorders>
              <w:top w:val="nil"/>
              <w:left w:val="nil"/>
              <w:bottom w:val="nil"/>
              <w:right w:val="nil"/>
            </w:tcBorders>
            <w:noWrap/>
          </w:tcPr>
          <w:p w14:paraId="452CC310" w14:textId="5075AB43" w:rsidR="005B54FB" w:rsidRPr="005B54FB" w:rsidRDefault="005B54FB" w:rsidP="00735C2C">
            <w:pPr>
              <w:suppressAutoHyphens w:val="0"/>
              <w:ind w:left="-82"/>
              <w:rPr>
                <w:rFonts w:eastAsiaTheme="minorHAnsi"/>
                <w:noProof/>
                <w:lang w:eastAsia="en-US"/>
              </w:rPr>
            </w:pPr>
            <w:r w:rsidRPr="005B54FB">
              <w:rPr>
                <w:rFonts w:eastAsiaTheme="minorHAnsi"/>
                <w:noProof/>
                <w:lang w:eastAsia="en-US"/>
              </w:rPr>
              <w:t>7.1</w:t>
            </w:r>
            <w:r w:rsidR="00735C2C">
              <w:rPr>
                <w:rFonts w:eastAsiaTheme="minorHAnsi"/>
                <w:noProof/>
                <w:lang w:eastAsia="en-US"/>
              </w:rPr>
              <w:t>.</w:t>
            </w:r>
          </w:p>
        </w:tc>
        <w:tc>
          <w:tcPr>
            <w:tcW w:w="9387" w:type="dxa"/>
            <w:tcBorders>
              <w:top w:val="nil"/>
              <w:left w:val="nil"/>
              <w:bottom w:val="nil"/>
              <w:right w:val="nil"/>
            </w:tcBorders>
          </w:tcPr>
          <w:p w14:paraId="614416CD" w14:textId="77777777" w:rsidR="005B54FB" w:rsidRPr="005B54FB" w:rsidRDefault="005B54FB" w:rsidP="00735C2C">
            <w:pPr>
              <w:suppressAutoHyphens w:val="0"/>
              <w:jc w:val="both"/>
              <w:rPr>
                <w:rFonts w:eastAsiaTheme="minorHAnsi"/>
                <w:noProof/>
                <w:lang w:eastAsia="en-US"/>
              </w:rPr>
            </w:pPr>
            <w:r w:rsidRPr="005B54FB">
              <w:rPr>
                <w:rFonts w:eastAsiaTheme="minorHAnsi"/>
                <w:b/>
                <w:noProof/>
                <w:lang w:eastAsia="en-US"/>
              </w:rPr>
              <w:t>„Kiwi Syslog Server“</w:t>
            </w:r>
            <w:r w:rsidRPr="005B54FB">
              <w:rPr>
                <w:rFonts w:eastAsiaTheme="minorHAnsi"/>
                <w:noProof/>
                <w:lang w:eastAsia="en-US"/>
              </w:rPr>
              <w:t xml:space="preserve"> licencijos palaikymo pratęsimas 36 mėn. laikotarpiui. Licencijos palaikymo pratęsimas privalo suteikti teisę be papildomo mokesčio gauti programinės įrangos pataisymus ir atnaujinimus (naujausias versijas) viso palaikymo pratęsimo metu. Pirkėjo turima licencija galioja iki 2026-09-24.</w:t>
            </w:r>
          </w:p>
        </w:tc>
      </w:tr>
    </w:tbl>
    <w:p w14:paraId="4C1AB3D0" w14:textId="77777777" w:rsidR="005E1F77" w:rsidRDefault="005E1F77" w:rsidP="0048326B">
      <w:pPr>
        <w:suppressAutoHyphens w:val="0"/>
        <w:contextualSpacing/>
        <w:jc w:val="both"/>
        <w:rPr>
          <w:rFonts w:eastAsia="Calibri"/>
          <w:szCs w:val="22"/>
          <w:lang w:eastAsia="en-US"/>
        </w:rPr>
      </w:pPr>
    </w:p>
    <w:tbl>
      <w:tblPr>
        <w:tblW w:w="989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9263"/>
      </w:tblGrid>
      <w:tr w:rsidR="002F2F91" w:rsidRPr="002F2F91" w14:paraId="051EFEBE" w14:textId="77777777" w:rsidTr="002F2F91">
        <w:trPr>
          <w:trHeight w:val="318"/>
        </w:trPr>
        <w:tc>
          <w:tcPr>
            <w:tcW w:w="635" w:type="dxa"/>
            <w:tcBorders>
              <w:top w:val="nil"/>
              <w:left w:val="nil"/>
              <w:bottom w:val="nil"/>
              <w:right w:val="nil"/>
            </w:tcBorders>
            <w:noWrap/>
          </w:tcPr>
          <w:p w14:paraId="2E8A5A69" w14:textId="77777777" w:rsidR="002F2F91" w:rsidRPr="002F2F91" w:rsidRDefault="002F2F91" w:rsidP="002F2F91">
            <w:pPr>
              <w:suppressAutoHyphens w:val="0"/>
              <w:ind w:left="-82"/>
              <w:rPr>
                <w:rFonts w:eastAsiaTheme="minorHAnsi"/>
                <w:b/>
                <w:noProof/>
                <w:lang w:eastAsia="en-US"/>
              </w:rPr>
            </w:pPr>
            <w:r w:rsidRPr="002F2F91">
              <w:rPr>
                <w:rFonts w:eastAsiaTheme="minorHAnsi"/>
                <w:b/>
                <w:noProof/>
                <w:lang w:eastAsia="en-US"/>
              </w:rPr>
              <w:t>8.</w:t>
            </w:r>
          </w:p>
        </w:tc>
        <w:tc>
          <w:tcPr>
            <w:tcW w:w="9263" w:type="dxa"/>
            <w:tcBorders>
              <w:top w:val="nil"/>
              <w:left w:val="nil"/>
              <w:bottom w:val="nil"/>
              <w:right w:val="nil"/>
            </w:tcBorders>
          </w:tcPr>
          <w:p w14:paraId="0CBB364E" w14:textId="77777777" w:rsidR="002F2F91" w:rsidRPr="002F2F91" w:rsidRDefault="002F2F91" w:rsidP="002F2F91">
            <w:pPr>
              <w:suppressAutoHyphens w:val="0"/>
              <w:ind w:right="-31"/>
              <w:jc w:val="both"/>
              <w:rPr>
                <w:rFonts w:eastAsiaTheme="minorHAnsi"/>
                <w:b/>
                <w:noProof/>
                <w:lang w:eastAsia="en-US"/>
              </w:rPr>
            </w:pPr>
            <w:r w:rsidRPr="002F2F91">
              <w:rPr>
                <w:rFonts w:eastAsiaTheme="minorHAnsi"/>
                <w:b/>
                <w:noProof/>
                <w:lang w:eastAsia="en-US"/>
              </w:rPr>
              <w:t>Programinės įrangos licencijų palaikymas Nr. 8 (BVPŽ kodas 72200000-7)</w:t>
            </w:r>
          </w:p>
        </w:tc>
      </w:tr>
      <w:tr w:rsidR="002F2F91" w:rsidRPr="002F2F91" w14:paraId="0F32AF48" w14:textId="77777777" w:rsidTr="002F2F91">
        <w:trPr>
          <w:trHeight w:val="318"/>
        </w:trPr>
        <w:tc>
          <w:tcPr>
            <w:tcW w:w="635" w:type="dxa"/>
            <w:tcBorders>
              <w:top w:val="nil"/>
              <w:left w:val="nil"/>
              <w:bottom w:val="nil"/>
              <w:right w:val="nil"/>
            </w:tcBorders>
            <w:noWrap/>
          </w:tcPr>
          <w:p w14:paraId="111F7F8A" w14:textId="77777777" w:rsidR="002F2F91" w:rsidRPr="002F2F91" w:rsidRDefault="002F2F91" w:rsidP="002F2F91">
            <w:pPr>
              <w:suppressAutoHyphens w:val="0"/>
              <w:ind w:left="-82"/>
              <w:rPr>
                <w:rFonts w:eastAsiaTheme="minorHAnsi"/>
                <w:noProof/>
                <w:lang w:eastAsia="en-US"/>
              </w:rPr>
            </w:pPr>
            <w:r w:rsidRPr="002F2F91">
              <w:rPr>
                <w:rFonts w:eastAsiaTheme="minorHAnsi"/>
                <w:noProof/>
                <w:lang w:eastAsia="en-US"/>
              </w:rPr>
              <w:t>8.1.</w:t>
            </w:r>
          </w:p>
        </w:tc>
        <w:tc>
          <w:tcPr>
            <w:tcW w:w="9263" w:type="dxa"/>
            <w:tcBorders>
              <w:top w:val="nil"/>
              <w:left w:val="nil"/>
              <w:bottom w:val="nil"/>
              <w:right w:val="nil"/>
            </w:tcBorders>
          </w:tcPr>
          <w:p w14:paraId="006C93AC" w14:textId="5DF670B6" w:rsidR="002F2F91" w:rsidRPr="002F2F91" w:rsidRDefault="00BB3526" w:rsidP="002F2F91">
            <w:pPr>
              <w:suppressAutoHyphens w:val="0"/>
              <w:ind w:right="-31"/>
              <w:jc w:val="both"/>
              <w:rPr>
                <w:rFonts w:eastAsiaTheme="minorHAnsi"/>
                <w:lang w:eastAsia="en-US"/>
              </w:rPr>
            </w:pPr>
            <w:r w:rsidRPr="00BB3526">
              <w:rPr>
                <w:rFonts w:eastAsiaTheme="minorHAnsi"/>
                <w:b/>
                <w:lang w:eastAsia="en-US"/>
              </w:rPr>
              <w:t>CUCM</w:t>
            </w:r>
            <w:r w:rsidRPr="00BB3526">
              <w:rPr>
                <w:rFonts w:eastAsiaTheme="minorHAnsi"/>
                <w:lang w:eastAsia="en-US"/>
              </w:rPr>
              <w:t xml:space="preserve"> (</w:t>
            </w:r>
            <w:proofErr w:type="spellStart"/>
            <w:r w:rsidRPr="00BB3526">
              <w:rPr>
                <w:rFonts w:eastAsiaTheme="minorHAnsi"/>
                <w:lang w:eastAsia="en-US"/>
              </w:rPr>
              <w:t>Cisco</w:t>
            </w:r>
            <w:proofErr w:type="spellEnd"/>
            <w:r w:rsidRPr="00BB3526">
              <w:rPr>
                <w:rFonts w:eastAsiaTheme="minorHAnsi"/>
                <w:lang w:eastAsia="en-US"/>
              </w:rPr>
              <w:t xml:space="preserve"> </w:t>
            </w:r>
            <w:proofErr w:type="spellStart"/>
            <w:r w:rsidRPr="00BB3526">
              <w:rPr>
                <w:rFonts w:eastAsiaTheme="minorHAnsi"/>
                <w:lang w:eastAsia="en-US"/>
              </w:rPr>
              <w:t>Communications</w:t>
            </w:r>
            <w:proofErr w:type="spellEnd"/>
            <w:r w:rsidRPr="00BB3526">
              <w:rPr>
                <w:rFonts w:eastAsiaTheme="minorHAnsi"/>
                <w:lang w:eastAsia="en-US"/>
              </w:rPr>
              <w:t xml:space="preserve"> Manager IP telefonijos skambučių programinės įrangos licencij</w:t>
            </w:r>
            <w:r>
              <w:rPr>
                <w:rFonts w:eastAsiaTheme="minorHAnsi"/>
                <w:lang w:eastAsia="en-US"/>
              </w:rPr>
              <w:t>os</w:t>
            </w:r>
            <w:r w:rsidRPr="00BB3526">
              <w:rPr>
                <w:rFonts w:eastAsiaTheme="minorHAnsi"/>
                <w:lang w:eastAsia="en-US"/>
              </w:rPr>
              <w:t xml:space="preserve"> A-FLEX-NUPL-P NU </w:t>
            </w:r>
            <w:proofErr w:type="spellStart"/>
            <w:r w:rsidRPr="00BB3526">
              <w:rPr>
                <w:rFonts w:eastAsiaTheme="minorHAnsi"/>
                <w:lang w:eastAsia="en-US"/>
              </w:rPr>
              <w:t>On-Premises</w:t>
            </w:r>
            <w:proofErr w:type="spellEnd"/>
            <w:r w:rsidRPr="00BB3526">
              <w:rPr>
                <w:rFonts w:eastAsiaTheme="minorHAnsi"/>
                <w:lang w:eastAsia="en-US"/>
              </w:rPr>
              <w:t xml:space="preserve"> </w:t>
            </w:r>
            <w:proofErr w:type="spellStart"/>
            <w:r w:rsidRPr="00BB3526">
              <w:rPr>
                <w:rFonts w:eastAsiaTheme="minorHAnsi"/>
                <w:lang w:eastAsia="en-US"/>
              </w:rPr>
              <w:t>Calling</w:t>
            </w:r>
            <w:proofErr w:type="spellEnd"/>
            <w:r w:rsidRPr="00BB3526">
              <w:rPr>
                <w:rFonts w:eastAsiaTheme="minorHAnsi"/>
                <w:lang w:eastAsia="en-US"/>
              </w:rPr>
              <w:t xml:space="preserve"> Professional</w:t>
            </w:r>
            <w:r>
              <w:rPr>
                <w:rFonts w:eastAsiaTheme="minorHAnsi"/>
                <w:lang w:eastAsia="en-US"/>
              </w:rPr>
              <w:t xml:space="preserve">). </w:t>
            </w:r>
            <w:r w:rsidR="002F2F91" w:rsidRPr="002F2F91">
              <w:rPr>
                <w:rFonts w:eastAsiaTheme="minorHAnsi"/>
                <w:lang w:eastAsia="en-US"/>
              </w:rPr>
              <w:t xml:space="preserve">Turimos Vieningų komunikacijų sistemos programinės įrangos atnaujinimo ir turimos licencijos (tipas A-FLEX-P-PRO) palaikymo pratęsimas 36 mėn. laikotarpiui. Licencijos palaikymo pratęsimas privalo suteikti teisę be papildomo mokesčio gauti programinės įrangos parašus, </w:t>
            </w:r>
            <w:proofErr w:type="spellStart"/>
            <w:r w:rsidR="002F2F91" w:rsidRPr="002F2F91">
              <w:rPr>
                <w:rFonts w:eastAsiaTheme="minorHAnsi"/>
                <w:lang w:eastAsia="en-US"/>
              </w:rPr>
              <w:t>pataisymus</w:t>
            </w:r>
            <w:proofErr w:type="spellEnd"/>
            <w:r w:rsidR="002F2F91" w:rsidRPr="002F2F91">
              <w:rPr>
                <w:rFonts w:eastAsiaTheme="minorHAnsi"/>
                <w:lang w:eastAsia="en-US"/>
              </w:rPr>
              <w:t xml:space="preserve"> ir </w:t>
            </w:r>
            <w:proofErr w:type="spellStart"/>
            <w:r w:rsidR="002F2F91" w:rsidRPr="002F2F91">
              <w:rPr>
                <w:rFonts w:eastAsiaTheme="minorHAnsi"/>
                <w:lang w:eastAsia="en-US"/>
              </w:rPr>
              <w:t>atnaujinimus</w:t>
            </w:r>
            <w:proofErr w:type="spellEnd"/>
            <w:r w:rsidR="002F2F91" w:rsidRPr="002F2F91">
              <w:rPr>
                <w:rFonts w:eastAsiaTheme="minorHAnsi"/>
                <w:lang w:eastAsia="en-US"/>
              </w:rPr>
              <w:t xml:space="preserve"> (naujausias versijas) viso palaikymo pratęsimo metu. Licencija turi suteikti galimybę naudotojui priskirti ne mažiau kaip 10 įrenginių. Pateikiama licencija ne mažiau kaip 2000 naudotojų. Pirkėjo turima licencija galioja iki:</w:t>
            </w:r>
          </w:p>
          <w:p w14:paraId="6069EC59" w14:textId="77777777" w:rsidR="002F2F91" w:rsidRPr="002F2F91" w:rsidRDefault="002F2F91" w:rsidP="002F2F91">
            <w:pPr>
              <w:suppressAutoHyphens w:val="0"/>
              <w:ind w:right="-31"/>
              <w:jc w:val="both"/>
              <w:rPr>
                <w:rFonts w:eastAsiaTheme="minorHAnsi"/>
                <w:lang w:eastAsia="en-US"/>
              </w:rPr>
            </w:pPr>
            <w:r w:rsidRPr="002F2F91">
              <w:rPr>
                <w:rFonts w:eastAsiaTheme="minorHAnsi"/>
                <w:lang w:eastAsia="en-US"/>
              </w:rPr>
              <w:t>Kiekis                 Galiojimo pabaigos data</w:t>
            </w:r>
          </w:p>
          <w:p w14:paraId="5A9CFB62" w14:textId="77777777" w:rsidR="002F2F91" w:rsidRPr="002F2F91" w:rsidRDefault="002F2F91" w:rsidP="002F2F91">
            <w:pPr>
              <w:suppressAutoHyphens w:val="0"/>
              <w:ind w:right="-31"/>
              <w:jc w:val="both"/>
              <w:rPr>
                <w:rFonts w:eastAsiaTheme="minorHAnsi"/>
                <w:lang w:eastAsia="en-US"/>
              </w:rPr>
            </w:pPr>
            <w:r w:rsidRPr="002F2F91">
              <w:rPr>
                <w:rFonts w:eastAsiaTheme="minorHAnsi"/>
                <w:lang w:eastAsia="en-US"/>
              </w:rPr>
              <w:t>350                      2026-01-31</w:t>
            </w:r>
          </w:p>
          <w:p w14:paraId="5364B6DE" w14:textId="77777777" w:rsidR="002F2F91" w:rsidRPr="002F2F91" w:rsidRDefault="002F2F91" w:rsidP="002F2F91">
            <w:pPr>
              <w:suppressAutoHyphens w:val="0"/>
              <w:ind w:right="-31"/>
              <w:jc w:val="both"/>
              <w:rPr>
                <w:rFonts w:eastAsiaTheme="minorHAnsi"/>
                <w:lang w:eastAsia="en-US"/>
              </w:rPr>
            </w:pPr>
            <w:r w:rsidRPr="002F2F91">
              <w:rPr>
                <w:rFonts w:eastAsiaTheme="minorHAnsi"/>
                <w:lang w:eastAsia="en-US"/>
              </w:rPr>
              <w:t>200                      2026-02-08</w:t>
            </w:r>
          </w:p>
          <w:p w14:paraId="59C83B70" w14:textId="77777777" w:rsidR="002F2F91" w:rsidRPr="002F2F91" w:rsidRDefault="002F2F91" w:rsidP="002F2F91">
            <w:pPr>
              <w:suppressAutoHyphens w:val="0"/>
              <w:ind w:right="-31"/>
              <w:jc w:val="both"/>
              <w:rPr>
                <w:rFonts w:eastAsiaTheme="minorHAnsi"/>
                <w:lang w:eastAsia="en-US"/>
              </w:rPr>
            </w:pPr>
            <w:r w:rsidRPr="002F2F91">
              <w:rPr>
                <w:rFonts w:eastAsiaTheme="minorHAnsi"/>
                <w:lang w:eastAsia="en-US"/>
              </w:rPr>
              <w:t>50                        2026-06-08</w:t>
            </w:r>
          </w:p>
          <w:p w14:paraId="719D1AE4" w14:textId="77777777" w:rsidR="002F2F91" w:rsidRPr="002F2F91" w:rsidRDefault="002F2F91" w:rsidP="002F2F91">
            <w:pPr>
              <w:suppressAutoHyphens w:val="0"/>
              <w:ind w:right="-31"/>
              <w:jc w:val="both"/>
              <w:rPr>
                <w:rFonts w:eastAsiaTheme="minorHAnsi"/>
                <w:lang w:eastAsia="en-US"/>
              </w:rPr>
            </w:pPr>
            <w:r w:rsidRPr="002F2F91">
              <w:rPr>
                <w:rFonts w:eastAsiaTheme="minorHAnsi"/>
                <w:lang w:eastAsia="en-US"/>
              </w:rPr>
              <w:t>521                      2026-12-05</w:t>
            </w:r>
          </w:p>
          <w:p w14:paraId="331D898D" w14:textId="77777777" w:rsidR="002F2F91" w:rsidRPr="002F2F91" w:rsidRDefault="002F2F91" w:rsidP="002F2F91">
            <w:pPr>
              <w:suppressAutoHyphens w:val="0"/>
              <w:ind w:right="-31"/>
              <w:jc w:val="both"/>
              <w:rPr>
                <w:rFonts w:eastAsiaTheme="minorHAnsi"/>
                <w:b/>
                <w:noProof/>
                <w:lang w:eastAsia="en-US"/>
              </w:rPr>
            </w:pPr>
            <w:r w:rsidRPr="002F2F91">
              <w:rPr>
                <w:rFonts w:eastAsiaTheme="minorHAnsi"/>
                <w:lang w:eastAsia="en-US"/>
              </w:rPr>
              <w:t>879                      2026-12-11</w:t>
            </w:r>
          </w:p>
        </w:tc>
      </w:tr>
    </w:tbl>
    <w:p w14:paraId="155A8F71" w14:textId="77777777" w:rsidR="002F2F91" w:rsidRDefault="002F2F91" w:rsidP="0048326B">
      <w:pPr>
        <w:suppressAutoHyphens w:val="0"/>
        <w:contextualSpacing/>
        <w:jc w:val="both"/>
        <w:rPr>
          <w:rFonts w:eastAsia="Calibri"/>
          <w:szCs w:val="22"/>
          <w:lang w:eastAsia="en-US"/>
        </w:rPr>
      </w:pPr>
    </w:p>
    <w:tbl>
      <w:tblPr>
        <w:tblW w:w="969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977"/>
      </w:tblGrid>
      <w:tr w:rsidR="00D721DA" w:rsidRPr="00D721DA" w14:paraId="0CB49E11" w14:textId="77777777" w:rsidTr="00D721DA">
        <w:trPr>
          <w:trHeight w:val="315"/>
        </w:trPr>
        <w:tc>
          <w:tcPr>
            <w:tcW w:w="717" w:type="dxa"/>
            <w:tcBorders>
              <w:top w:val="nil"/>
              <w:left w:val="nil"/>
              <w:bottom w:val="nil"/>
              <w:right w:val="nil"/>
            </w:tcBorders>
            <w:noWrap/>
          </w:tcPr>
          <w:p w14:paraId="791398BD" w14:textId="77777777" w:rsidR="00D721DA" w:rsidRPr="00D721DA" w:rsidRDefault="00D721DA" w:rsidP="00D721DA">
            <w:pPr>
              <w:suppressAutoHyphens w:val="0"/>
              <w:ind w:left="-474" w:firstLine="392"/>
              <w:rPr>
                <w:rFonts w:eastAsiaTheme="minorHAnsi"/>
                <w:b/>
                <w:noProof/>
                <w:lang w:eastAsia="en-US"/>
              </w:rPr>
            </w:pPr>
            <w:r w:rsidRPr="00D721DA">
              <w:rPr>
                <w:rFonts w:eastAsiaTheme="minorHAnsi"/>
                <w:b/>
                <w:noProof/>
                <w:lang w:eastAsia="en-US"/>
              </w:rPr>
              <w:t>9.</w:t>
            </w:r>
          </w:p>
        </w:tc>
        <w:tc>
          <w:tcPr>
            <w:tcW w:w="8977" w:type="dxa"/>
            <w:tcBorders>
              <w:top w:val="nil"/>
              <w:left w:val="nil"/>
              <w:bottom w:val="nil"/>
              <w:right w:val="nil"/>
            </w:tcBorders>
          </w:tcPr>
          <w:p w14:paraId="7FD79679" w14:textId="77777777" w:rsidR="00D721DA" w:rsidRPr="00D721DA" w:rsidRDefault="00D721DA" w:rsidP="00D721DA">
            <w:pPr>
              <w:suppressAutoHyphens w:val="0"/>
              <w:ind w:right="-31"/>
              <w:jc w:val="both"/>
              <w:rPr>
                <w:rFonts w:eastAsiaTheme="minorHAnsi"/>
                <w:b/>
                <w:noProof/>
                <w:lang w:eastAsia="en-US"/>
              </w:rPr>
            </w:pPr>
            <w:r w:rsidRPr="00D721DA">
              <w:rPr>
                <w:rFonts w:eastAsiaTheme="minorHAnsi"/>
                <w:b/>
                <w:noProof/>
                <w:lang w:eastAsia="en-US"/>
              </w:rPr>
              <w:t>Programinės įrangos licencijų palaikymas Nr. 9 (BVPŽ kodas 72260000-5)</w:t>
            </w:r>
          </w:p>
        </w:tc>
      </w:tr>
      <w:tr w:rsidR="00D721DA" w:rsidRPr="00D721DA" w14:paraId="328D089E" w14:textId="77777777" w:rsidTr="00D721DA">
        <w:trPr>
          <w:trHeight w:val="315"/>
        </w:trPr>
        <w:tc>
          <w:tcPr>
            <w:tcW w:w="717" w:type="dxa"/>
            <w:tcBorders>
              <w:top w:val="nil"/>
              <w:left w:val="nil"/>
              <w:bottom w:val="nil"/>
              <w:right w:val="nil"/>
            </w:tcBorders>
            <w:noWrap/>
          </w:tcPr>
          <w:p w14:paraId="08209A44" w14:textId="77777777" w:rsidR="00D721DA" w:rsidRPr="00D721DA" w:rsidRDefault="00D721DA" w:rsidP="00D721DA">
            <w:pPr>
              <w:suppressAutoHyphens w:val="0"/>
              <w:ind w:left="-82"/>
              <w:rPr>
                <w:rFonts w:eastAsiaTheme="minorHAnsi"/>
                <w:noProof/>
                <w:lang w:eastAsia="en-US"/>
              </w:rPr>
            </w:pPr>
            <w:r w:rsidRPr="00D721DA">
              <w:rPr>
                <w:rFonts w:eastAsiaTheme="minorHAnsi"/>
                <w:noProof/>
                <w:lang w:eastAsia="en-US"/>
              </w:rPr>
              <w:t>9.1.</w:t>
            </w:r>
          </w:p>
        </w:tc>
        <w:tc>
          <w:tcPr>
            <w:tcW w:w="8977" w:type="dxa"/>
            <w:tcBorders>
              <w:top w:val="nil"/>
              <w:left w:val="nil"/>
              <w:bottom w:val="nil"/>
              <w:right w:val="nil"/>
            </w:tcBorders>
          </w:tcPr>
          <w:p w14:paraId="65CADCFF" w14:textId="07ADD23F" w:rsidR="00D721DA" w:rsidRPr="00D721DA" w:rsidRDefault="00304C85" w:rsidP="00D721DA">
            <w:pPr>
              <w:suppressAutoHyphens w:val="0"/>
              <w:ind w:right="-31"/>
              <w:jc w:val="both"/>
              <w:rPr>
                <w:rFonts w:eastAsiaTheme="minorHAnsi"/>
                <w:lang w:eastAsia="en-US"/>
              </w:rPr>
            </w:pPr>
            <w:proofErr w:type="spellStart"/>
            <w:r w:rsidRPr="00304C85">
              <w:rPr>
                <w:rFonts w:eastAsiaTheme="minorHAnsi"/>
                <w:b/>
                <w:lang w:eastAsia="en-US"/>
              </w:rPr>
              <w:t>Cisco</w:t>
            </w:r>
            <w:proofErr w:type="spellEnd"/>
            <w:r w:rsidRPr="00304C85">
              <w:rPr>
                <w:rFonts w:eastAsiaTheme="minorHAnsi"/>
                <w:b/>
                <w:lang w:eastAsia="en-US"/>
              </w:rPr>
              <w:t xml:space="preserve"> </w:t>
            </w:r>
            <w:proofErr w:type="spellStart"/>
            <w:r w:rsidRPr="00304C85">
              <w:rPr>
                <w:rFonts w:eastAsiaTheme="minorHAnsi"/>
                <w:b/>
                <w:lang w:eastAsia="en-US"/>
              </w:rPr>
              <w:t>Meeting</w:t>
            </w:r>
            <w:proofErr w:type="spellEnd"/>
            <w:r w:rsidRPr="00304C85">
              <w:rPr>
                <w:rFonts w:eastAsiaTheme="minorHAnsi"/>
                <w:b/>
                <w:lang w:eastAsia="en-US"/>
              </w:rPr>
              <w:t xml:space="preserve"> </w:t>
            </w:r>
            <w:proofErr w:type="spellStart"/>
            <w:r w:rsidRPr="00304C85">
              <w:rPr>
                <w:rFonts w:eastAsiaTheme="minorHAnsi"/>
                <w:b/>
                <w:lang w:eastAsia="en-US"/>
              </w:rPr>
              <w:t>server</w:t>
            </w:r>
            <w:proofErr w:type="spellEnd"/>
            <w:r w:rsidRPr="00304C85">
              <w:rPr>
                <w:rFonts w:eastAsiaTheme="minorHAnsi"/>
                <w:lang w:eastAsia="en-US"/>
              </w:rPr>
              <w:t xml:space="preserve"> (</w:t>
            </w:r>
            <w:proofErr w:type="spellStart"/>
            <w:r w:rsidRPr="00304C85">
              <w:rPr>
                <w:rFonts w:eastAsiaTheme="minorHAnsi"/>
                <w:lang w:eastAsia="en-US"/>
              </w:rPr>
              <w:t>Cisco</w:t>
            </w:r>
            <w:proofErr w:type="spellEnd"/>
            <w:r w:rsidRPr="00304C85">
              <w:rPr>
                <w:rFonts w:eastAsiaTheme="minorHAnsi"/>
                <w:lang w:eastAsia="en-US"/>
              </w:rPr>
              <w:t xml:space="preserve"> </w:t>
            </w:r>
            <w:proofErr w:type="spellStart"/>
            <w:r w:rsidRPr="00304C85">
              <w:rPr>
                <w:rFonts w:eastAsiaTheme="minorHAnsi"/>
                <w:lang w:eastAsia="en-US"/>
              </w:rPr>
              <w:t>Meeting</w:t>
            </w:r>
            <w:proofErr w:type="spellEnd"/>
            <w:r w:rsidRPr="00304C85">
              <w:rPr>
                <w:rFonts w:eastAsiaTheme="minorHAnsi"/>
                <w:lang w:eastAsia="en-US"/>
              </w:rPr>
              <w:t xml:space="preserve"> Server vaizdo sujungimų programinės įrangos licencijų A-CMS-PMP CMS </w:t>
            </w:r>
            <w:proofErr w:type="spellStart"/>
            <w:r w:rsidRPr="00304C85">
              <w:rPr>
                <w:rFonts w:eastAsiaTheme="minorHAnsi"/>
                <w:lang w:eastAsia="en-US"/>
              </w:rPr>
              <w:t>On-Prem</w:t>
            </w:r>
            <w:proofErr w:type="spellEnd"/>
            <w:r w:rsidRPr="00304C85">
              <w:rPr>
                <w:rFonts w:eastAsiaTheme="minorHAnsi"/>
                <w:lang w:eastAsia="en-US"/>
              </w:rPr>
              <w:t xml:space="preserve"> </w:t>
            </w:r>
            <w:proofErr w:type="spellStart"/>
            <w:r w:rsidRPr="00304C85">
              <w:rPr>
                <w:rFonts w:eastAsiaTheme="minorHAnsi"/>
                <w:lang w:eastAsia="en-US"/>
              </w:rPr>
              <w:t>Named</w:t>
            </w:r>
            <w:proofErr w:type="spellEnd"/>
            <w:r w:rsidRPr="00304C85">
              <w:rPr>
                <w:rFonts w:eastAsiaTheme="minorHAnsi"/>
                <w:lang w:eastAsia="en-US"/>
              </w:rPr>
              <w:t xml:space="preserve"> User (PMP) </w:t>
            </w:r>
            <w:proofErr w:type="spellStart"/>
            <w:r w:rsidRPr="00304C85">
              <w:rPr>
                <w:rFonts w:eastAsiaTheme="minorHAnsi"/>
                <w:lang w:eastAsia="en-US"/>
              </w:rPr>
              <w:t>Host</w:t>
            </w:r>
            <w:proofErr w:type="spellEnd"/>
            <w:r w:rsidRPr="00304C85">
              <w:rPr>
                <w:rFonts w:eastAsiaTheme="minorHAnsi"/>
                <w:lang w:eastAsia="en-US"/>
              </w:rPr>
              <w:t xml:space="preserve"> </w:t>
            </w:r>
            <w:proofErr w:type="spellStart"/>
            <w:r w:rsidRPr="00304C85">
              <w:rPr>
                <w:rFonts w:eastAsiaTheme="minorHAnsi"/>
                <w:lang w:eastAsia="en-US"/>
              </w:rPr>
              <w:t>License</w:t>
            </w:r>
            <w:proofErr w:type="spellEnd"/>
            <w:r>
              <w:rPr>
                <w:rFonts w:eastAsiaTheme="minorHAnsi"/>
                <w:lang w:eastAsia="en-US"/>
              </w:rPr>
              <w:t xml:space="preserve">). </w:t>
            </w:r>
            <w:r w:rsidR="00D721DA" w:rsidRPr="00D721DA">
              <w:rPr>
                <w:rFonts w:eastAsiaTheme="minorHAnsi"/>
                <w:lang w:eastAsia="en-US"/>
              </w:rPr>
              <w:t xml:space="preserve">Turimos Vaizdo konferencijų programinės įrangos (Vaizdo konferencijų virtualus serveris) atnaujinimo ir turimos licencijos (tipas A-CMS-PMP-S) palaikymo pratęsimas 36 mėn. laikotarpiui. Licencijos palaikymo pratęsimas privalo suteikti teisę be papildomo mokesčio gauti programinės įrangos parašus, </w:t>
            </w:r>
            <w:proofErr w:type="spellStart"/>
            <w:r w:rsidR="00D721DA" w:rsidRPr="00D721DA">
              <w:rPr>
                <w:rFonts w:eastAsiaTheme="minorHAnsi"/>
                <w:lang w:eastAsia="en-US"/>
              </w:rPr>
              <w:t>pataisymus</w:t>
            </w:r>
            <w:proofErr w:type="spellEnd"/>
            <w:r w:rsidR="00D721DA" w:rsidRPr="00D721DA">
              <w:rPr>
                <w:rFonts w:eastAsiaTheme="minorHAnsi"/>
                <w:lang w:eastAsia="en-US"/>
              </w:rPr>
              <w:t xml:space="preserve"> ir </w:t>
            </w:r>
            <w:proofErr w:type="spellStart"/>
            <w:r w:rsidR="00D721DA" w:rsidRPr="00D721DA">
              <w:rPr>
                <w:rFonts w:eastAsiaTheme="minorHAnsi"/>
                <w:lang w:eastAsia="en-US"/>
              </w:rPr>
              <w:t>atnaujinimus</w:t>
            </w:r>
            <w:proofErr w:type="spellEnd"/>
            <w:r w:rsidR="00D721DA" w:rsidRPr="00D721DA">
              <w:rPr>
                <w:rFonts w:eastAsiaTheme="minorHAnsi"/>
                <w:lang w:eastAsia="en-US"/>
              </w:rPr>
              <w:t xml:space="preserve"> (naujausias versijas) viso palaikymo pratęsimo metu Pateikiama licencija ne mažiau kaip 25 virtualioms erdvėms (angl. </w:t>
            </w:r>
            <w:proofErr w:type="spellStart"/>
            <w:r w:rsidR="00D721DA" w:rsidRPr="00D721DA">
              <w:rPr>
                <w:rFonts w:eastAsiaTheme="minorHAnsi"/>
                <w:i/>
                <w:lang w:eastAsia="en-US"/>
              </w:rPr>
              <w:t>Meeting</w:t>
            </w:r>
            <w:proofErr w:type="spellEnd"/>
            <w:r w:rsidR="00D721DA" w:rsidRPr="00D721DA">
              <w:rPr>
                <w:rFonts w:eastAsiaTheme="minorHAnsi"/>
                <w:i/>
                <w:lang w:eastAsia="en-US"/>
              </w:rPr>
              <w:t xml:space="preserve"> </w:t>
            </w:r>
            <w:proofErr w:type="spellStart"/>
            <w:r w:rsidR="00D721DA" w:rsidRPr="00D721DA">
              <w:rPr>
                <w:rFonts w:eastAsiaTheme="minorHAnsi"/>
                <w:i/>
                <w:lang w:eastAsia="en-US"/>
              </w:rPr>
              <w:t>space</w:t>
            </w:r>
            <w:proofErr w:type="spellEnd"/>
            <w:r w:rsidR="00D721DA" w:rsidRPr="00D721DA">
              <w:rPr>
                <w:rFonts w:eastAsiaTheme="minorHAnsi"/>
                <w:lang w:eastAsia="en-US"/>
              </w:rPr>
              <w:t>). Pirkėjo turima licencija galioja iki 2026-02-06.</w:t>
            </w:r>
          </w:p>
        </w:tc>
      </w:tr>
    </w:tbl>
    <w:p w14:paraId="20417D3C" w14:textId="77777777" w:rsidR="005E1F77" w:rsidRDefault="005E1F77" w:rsidP="0048326B">
      <w:pPr>
        <w:suppressAutoHyphens w:val="0"/>
        <w:contextualSpacing/>
        <w:jc w:val="both"/>
        <w:rPr>
          <w:rFonts w:eastAsia="Calibri"/>
          <w:szCs w:val="22"/>
          <w:lang w:eastAsia="en-US"/>
        </w:rPr>
      </w:pPr>
    </w:p>
    <w:tbl>
      <w:tblPr>
        <w:tblW w:w="969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977"/>
      </w:tblGrid>
      <w:tr w:rsidR="002E7D29" w:rsidRPr="002E7D29" w14:paraId="01E251B4" w14:textId="77777777" w:rsidTr="002E7D29">
        <w:trPr>
          <w:trHeight w:val="315"/>
        </w:trPr>
        <w:tc>
          <w:tcPr>
            <w:tcW w:w="717" w:type="dxa"/>
            <w:tcBorders>
              <w:top w:val="nil"/>
              <w:left w:val="nil"/>
              <w:bottom w:val="nil"/>
              <w:right w:val="nil"/>
            </w:tcBorders>
            <w:noWrap/>
          </w:tcPr>
          <w:p w14:paraId="030E75C1" w14:textId="77777777" w:rsidR="002E7D29" w:rsidRPr="002E7D29" w:rsidRDefault="002E7D29" w:rsidP="002E7D29">
            <w:pPr>
              <w:suppressAutoHyphens w:val="0"/>
              <w:ind w:left="-82"/>
              <w:rPr>
                <w:rFonts w:eastAsiaTheme="minorHAnsi"/>
                <w:b/>
                <w:noProof/>
                <w:lang w:eastAsia="en-US"/>
              </w:rPr>
            </w:pPr>
            <w:r w:rsidRPr="002E7D29">
              <w:rPr>
                <w:rFonts w:eastAsiaTheme="minorHAnsi"/>
                <w:b/>
                <w:noProof/>
                <w:lang w:eastAsia="en-US"/>
              </w:rPr>
              <w:t>10.</w:t>
            </w:r>
          </w:p>
        </w:tc>
        <w:tc>
          <w:tcPr>
            <w:tcW w:w="8977" w:type="dxa"/>
            <w:tcBorders>
              <w:top w:val="nil"/>
              <w:left w:val="nil"/>
              <w:bottom w:val="nil"/>
              <w:right w:val="nil"/>
            </w:tcBorders>
          </w:tcPr>
          <w:p w14:paraId="5CC80E88" w14:textId="77777777" w:rsidR="002E7D29" w:rsidRPr="002E7D29" w:rsidRDefault="002E7D29" w:rsidP="002E7D29">
            <w:pPr>
              <w:suppressAutoHyphens w:val="0"/>
              <w:ind w:right="-31"/>
              <w:jc w:val="both"/>
              <w:rPr>
                <w:rFonts w:eastAsiaTheme="minorHAnsi"/>
                <w:b/>
                <w:noProof/>
                <w:lang w:eastAsia="en-US"/>
              </w:rPr>
            </w:pPr>
            <w:r w:rsidRPr="002E7D29">
              <w:rPr>
                <w:rFonts w:eastAsiaTheme="minorHAnsi"/>
                <w:b/>
                <w:noProof/>
                <w:lang w:eastAsia="en-US"/>
              </w:rPr>
              <w:t>Programinės įrangos licencijų palaikymas Nr. 10 (BVPŽ kodas 72260000-5)</w:t>
            </w:r>
          </w:p>
        </w:tc>
      </w:tr>
      <w:tr w:rsidR="002E7D29" w:rsidRPr="002E7D29" w14:paraId="6C39FE7B" w14:textId="77777777" w:rsidTr="002E7D29">
        <w:trPr>
          <w:trHeight w:val="315"/>
        </w:trPr>
        <w:tc>
          <w:tcPr>
            <w:tcW w:w="717" w:type="dxa"/>
            <w:tcBorders>
              <w:top w:val="nil"/>
              <w:left w:val="nil"/>
              <w:bottom w:val="nil"/>
              <w:right w:val="nil"/>
            </w:tcBorders>
            <w:noWrap/>
          </w:tcPr>
          <w:p w14:paraId="626505C9" w14:textId="77777777" w:rsidR="002E7D29" w:rsidRPr="002E7D29" w:rsidRDefault="002E7D29" w:rsidP="002E7D29">
            <w:pPr>
              <w:suppressAutoHyphens w:val="0"/>
              <w:ind w:left="-82"/>
              <w:rPr>
                <w:rFonts w:eastAsiaTheme="minorHAnsi"/>
                <w:noProof/>
                <w:lang w:eastAsia="en-US"/>
              </w:rPr>
            </w:pPr>
            <w:r w:rsidRPr="002E7D29">
              <w:rPr>
                <w:rFonts w:eastAsiaTheme="minorHAnsi"/>
                <w:noProof/>
                <w:lang w:eastAsia="en-US"/>
              </w:rPr>
              <w:t>10.1.</w:t>
            </w:r>
          </w:p>
        </w:tc>
        <w:tc>
          <w:tcPr>
            <w:tcW w:w="8977" w:type="dxa"/>
            <w:tcBorders>
              <w:top w:val="nil"/>
              <w:left w:val="nil"/>
              <w:bottom w:val="nil"/>
              <w:right w:val="nil"/>
            </w:tcBorders>
          </w:tcPr>
          <w:p w14:paraId="589BCDFB" w14:textId="77777777" w:rsidR="002E7D29" w:rsidRPr="002E7D29" w:rsidRDefault="002E7D29" w:rsidP="002E7D29">
            <w:pPr>
              <w:suppressAutoHyphens w:val="0"/>
              <w:ind w:right="-31"/>
              <w:jc w:val="both"/>
              <w:rPr>
                <w:rFonts w:eastAsiaTheme="minorHAnsi"/>
                <w:lang w:eastAsia="en-US"/>
              </w:rPr>
            </w:pPr>
            <w:r w:rsidRPr="002E7D29">
              <w:rPr>
                <w:rFonts w:eastAsiaTheme="minorHAnsi"/>
                <w:lang w:eastAsia="en-US"/>
              </w:rPr>
              <w:t xml:space="preserve">Pirkėjo turimos rezervinio kopijavimo programinės įrangos </w:t>
            </w:r>
            <w:proofErr w:type="spellStart"/>
            <w:r w:rsidRPr="002E7D29">
              <w:rPr>
                <w:rFonts w:eastAsiaTheme="minorHAnsi"/>
                <w:b/>
                <w:lang w:eastAsia="en-US"/>
              </w:rPr>
              <w:t>Arctera</w:t>
            </w:r>
            <w:proofErr w:type="spellEnd"/>
            <w:r w:rsidRPr="002E7D29">
              <w:rPr>
                <w:rFonts w:eastAsiaTheme="minorHAnsi"/>
                <w:b/>
                <w:lang w:eastAsia="en-US"/>
              </w:rPr>
              <w:t xml:space="preserve"> </w:t>
            </w:r>
            <w:proofErr w:type="spellStart"/>
            <w:r w:rsidRPr="002E7D29">
              <w:rPr>
                <w:rFonts w:eastAsiaTheme="minorHAnsi"/>
                <w:b/>
                <w:lang w:eastAsia="en-US"/>
              </w:rPr>
              <w:t>Backup</w:t>
            </w:r>
            <w:proofErr w:type="spellEnd"/>
            <w:r w:rsidRPr="002E7D29">
              <w:rPr>
                <w:rFonts w:eastAsiaTheme="minorHAnsi"/>
                <w:b/>
                <w:lang w:eastAsia="en-US"/>
              </w:rPr>
              <w:t xml:space="preserve"> </w:t>
            </w:r>
            <w:proofErr w:type="spellStart"/>
            <w:r w:rsidRPr="002E7D29">
              <w:rPr>
                <w:rFonts w:eastAsiaTheme="minorHAnsi"/>
                <w:b/>
                <w:lang w:eastAsia="en-US"/>
              </w:rPr>
              <w:t>Exec</w:t>
            </w:r>
            <w:proofErr w:type="spellEnd"/>
            <w:r w:rsidRPr="002E7D29">
              <w:rPr>
                <w:rFonts w:eastAsiaTheme="minorHAnsi"/>
                <w:lang w:eastAsia="en-US"/>
              </w:rPr>
              <w:t xml:space="preserve"> (buvęs </w:t>
            </w:r>
            <w:proofErr w:type="spellStart"/>
            <w:r w:rsidRPr="002E7D29">
              <w:rPr>
                <w:rFonts w:eastAsiaTheme="minorHAnsi"/>
                <w:lang w:eastAsia="en-US"/>
              </w:rPr>
              <w:t>Veritas</w:t>
            </w:r>
            <w:proofErr w:type="spellEnd"/>
            <w:r w:rsidRPr="002E7D29">
              <w:rPr>
                <w:rFonts w:eastAsiaTheme="minorHAnsi"/>
                <w:lang w:eastAsia="en-US"/>
              </w:rPr>
              <w:t xml:space="preserve"> </w:t>
            </w:r>
            <w:proofErr w:type="spellStart"/>
            <w:r w:rsidRPr="002E7D29">
              <w:rPr>
                <w:rFonts w:eastAsiaTheme="minorHAnsi"/>
                <w:lang w:eastAsia="en-US"/>
              </w:rPr>
              <w:t>Backup</w:t>
            </w:r>
            <w:proofErr w:type="spellEnd"/>
            <w:r w:rsidRPr="002E7D29">
              <w:rPr>
                <w:rFonts w:eastAsiaTheme="minorHAnsi"/>
                <w:lang w:eastAsia="en-US"/>
              </w:rPr>
              <w:t xml:space="preserve"> </w:t>
            </w:r>
            <w:proofErr w:type="spellStart"/>
            <w:r w:rsidRPr="002E7D29">
              <w:rPr>
                <w:rFonts w:eastAsiaTheme="minorHAnsi"/>
                <w:lang w:eastAsia="en-US"/>
              </w:rPr>
              <w:t>Exec</w:t>
            </w:r>
            <w:proofErr w:type="spellEnd"/>
            <w:r w:rsidRPr="002E7D29">
              <w:rPr>
                <w:rFonts w:eastAsiaTheme="minorHAnsi"/>
                <w:lang w:eastAsia="en-US"/>
              </w:rPr>
              <w:t>) 25 (</w:t>
            </w:r>
            <w:proofErr w:type="spellStart"/>
            <w:r w:rsidRPr="002E7D29">
              <w:rPr>
                <w:rFonts w:eastAsiaTheme="minorHAnsi"/>
                <w:lang w:eastAsia="en-US"/>
              </w:rPr>
              <w:t>On-premise</w:t>
            </w:r>
            <w:proofErr w:type="spellEnd"/>
            <w:r w:rsidRPr="002E7D29">
              <w:rPr>
                <w:rFonts w:eastAsiaTheme="minorHAnsi"/>
                <w:lang w:eastAsia="en-US"/>
              </w:rPr>
              <w:t xml:space="preserve">, Standard, </w:t>
            </w:r>
            <w:proofErr w:type="spellStart"/>
            <w:r w:rsidRPr="002E7D29">
              <w:rPr>
                <w:rFonts w:eastAsiaTheme="minorHAnsi"/>
                <w:lang w:eastAsia="en-US"/>
              </w:rPr>
              <w:t>Perpetual</w:t>
            </w:r>
            <w:proofErr w:type="spellEnd"/>
            <w:r w:rsidRPr="002E7D29">
              <w:rPr>
                <w:rFonts w:eastAsiaTheme="minorHAnsi"/>
                <w:lang w:eastAsia="en-US"/>
              </w:rPr>
              <w:t>, Per-Server) 3 metų licencijos galiojimo pratęsimas (techninės priežiūros ir palaikymo paslaugų pratęsimas) (toliau – pratęsimas).</w:t>
            </w:r>
          </w:p>
        </w:tc>
      </w:tr>
      <w:tr w:rsidR="002E7D29" w:rsidRPr="002E7D29" w14:paraId="5050F2B9" w14:textId="77777777" w:rsidTr="002E7D29">
        <w:trPr>
          <w:trHeight w:val="315"/>
        </w:trPr>
        <w:tc>
          <w:tcPr>
            <w:tcW w:w="717" w:type="dxa"/>
            <w:tcBorders>
              <w:top w:val="nil"/>
              <w:left w:val="nil"/>
              <w:bottom w:val="nil"/>
              <w:right w:val="nil"/>
            </w:tcBorders>
            <w:noWrap/>
          </w:tcPr>
          <w:p w14:paraId="07E4AEE5" w14:textId="77777777" w:rsidR="002E7D29" w:rsidRPr="002E7D29" w:rsidRDefault="002E7D29" w:rsidP="002E7D29">
            <w:pPr>
              <w:suppressAutoHyphens w:val="0"/>
              <w:ind w:left="-82"/>
              <w:rPr>
                <w:rFonts w:eastAsiaTheme="minorHAnsi"/>
                <w:noProof/>
                <w:lang w:eastAsia="en-US"/>
              </w:rPr>
            </w:pPr>
          </w:p>
        </w:tc>
        <w:tc>
          <w:tcPr>
            <w:tcW w:w="8977" w:type="dxa"/>
            <w:tcBorders>
              <w:top w:val="nil"/>
              <w:left w:val="nil"/>
              <w:bottom w:val="nil"/>
              <w:right w:val="nil"/>
            </w:tcBorders>
          </w:tcPr>
          <w:p w14:paraId="6B16448E" w14:textId="77777777" w:rsidR="002E7D29" w:rsidRPr="002E7D29" w:rsidRDefault="002E7D29" w:rsidP="002E7D29">
            <w:pPr>
              <w:suppressAutoHyphens w:val="0"/>
              <w:ind w:right="-31"/>
              <w:jc w:val="both"/>
              <w:rPr>
                <w:rFonts w:eastAsiaTheme="minorHAnsi"/>
                <w:lang w:eastAsia="en-US"/>
              </w:rPr>
            </w:pPr>
            <w:r w:rsidRPr="002E7D29">
              <w:rPr>
                <w:rFonts w:eastAsiaTheme="minorHAnsi"/>
                <w:lang w:eastAsia="en-US"/>
              </w:rPr>
              <w:t>Pirkėjo turima licencija galioja iki 2025-12-15.</w:t>
            </w:r>
          </w:p>
        </w:tc>
      </w:tr>
      <w:tr w:rsidR="002E7D29" w:rsidRPr="002E7D29" w14:paraId="7970E1CA" w14:textId="77777777" w:rsidTr="002E7D29">
        <w:trPr>
          <w:trHeight w:val="315"/>
        </w:trPr>
        <w:tc>
          <w:tcPr>
            <w:tcW w:w="717" w:type="dxa"/>
            <w:tcBorders>
              <w:top w:val="nil"/>
              <w:left w:val="nil"/>
              <w:bottom w:val="nil"/>
              <w:right w:val="nil"/>
            </w:tcBorders>
            <w:noWrap/>
          </w:tcPr>
          <w:p w14:paraId="4C7C75DA" w14:textId="77777777" w:rsidR="002E7D29" w:rsidRPr="002E7D29" w:rsidRDefault="002E7D29" w:rsidP="002E7D29">
            <w:pPr>
              <w:suppressAutoHyphens w:val="0"/>
              <w:ind w:left="-82"/>
              <w:rPr>
                <w:rFonts w:eastAsiaTheme="minorHAnsi"/>
                <w:noProof/>
                <w:lang w:eastAsia="en-US"/>
              </w:rPr>
            </w:pPr>
          </w:p>
        </w:tc>
        <w:tc>
          <w:tcPr>
            <w:tcW w:w="8977" w:type="dxa"/>
            <w:tcBorders>
              <w:top w:val="nil"/>
              <w:left w:val="nil"/>
              <w:bottom w:val="nil"/>
              <w:right w:val="nil"/>
            </w:tcBorders>
          </w:tcPr>
          <w:p w14:paraId="5DC21372" w14:textId="77777777" w:rsidR="002E7D29" w:rsidRPr="002E7D29" w:rsidRDefault="002E7D29" w:rsidP="002E7D29">
            <w:pPr>
              <w:suppressAutoHyphens w:val="0"/>
              <w:ind w:right="-31"/>
              <w:jc w:val="both"/>
              <w:rPr>
                <w:rFonts w:eastAsiaTheme="minorHAnsi"/>
                <w:lang w:eastAsia="en-US"/>
              </w:rPr>
            </w:pPr>
            <w:r w:rsidRPr="002E7D29">
              <w:rPr>
                <w:rFonts w:eastAsiaTheme="minorHAnsi"/>
                <w:lang w:eastAsia="en-US"/>
              </w:rPr>
              <w:t xml:space="preserve">Pratęsimas privalo suteikti teisę be papildomo mokesčio gauti programinės įrangos </w:t>
            </w:r>
            <w:proofErr w:type="spellStart"/>
            <w:r w:rsidRPr="002E7D29">
              <w:rPr>
                <w:rFonts w:eastAsiaTheme="minorHAnsi"/>
                <w:lang w:eastAsia="en-US"/>
              </w:rPr>
              <w:t>pataisymus</w:t>
            </w:r>
            <w:proofErr w:type="spellEnd"/>
            <w:r w:rsidRPr="002E7D29">
              <w:rPr>
                <w:rFonts w:eastAsiaTheme="minorHAnsi"/>
                <w:lang w:eastAsia="en-US"/>
              </w:rPr>
              <w:t xml:space="preserve"> ir </w:t>
            </w:r>
            <w:proofErr w:type="spellStart"/>
            <w:r w:rsidRPr="002E7D29">
              <w:rPr>
                <w:rFonts w:eastAsiaTheme="minorHAnsi"/>
                <w:lang w:eastAsia="en-US"/>
              </w:rPr>
              <w:t>atnaujinimus</w:t>
            </w:r>
            <w:proofErr w:type="spellEnd"/>
            <w:r w:rsidRPr="002E7D29">
              <w:rPr>
                <w:rFonts w:eastAsiaTheme="minorHAnsi"/>
                <w:lang w:eastAsia="en-US"/>
              </w:rPr>
              <w:t xml:space="preserve"> į naujausias versijas viso pratęsimo metu.</w:t>
            </w:r>
          </w:p>
        </w:tc>
      </w:tr>
      <w:tr w:rsidR="002E7D29" w:rsidRPr="002E7D29" w14:paraId="4DC2F658" w14:textId="77777777" w:rsidTr="002E7D29">
        <w:trPr>
          <w:trHeight w:val="315"/>
        </w:trPr>
        <w:tc>
          <w:tcPr>
            <w:tcW w:w="717" w:type="dxa"/>
            <w:tcBorders>
              <w:top w:val="nil"/>
              <w:left w:val="nil"/>
              <w:bottom w:val="nil"/>
              <w:right w:val="nil"/>
            </w:tcBorders>
            <w:noWrap/>
          </w:tcPr>
          <w:p w14:paraId="7A92F95E" w14:textId="77777777" w:rsidR="002E7D29" w:rsidRPr="002E7D29" w:rsidRDefault="002E7D29" w:rsidP="002E7D29">
            <w:pPr>
              <w:suppressAutoHyphens w:val="0"/>
              <w:rPr>
                <w:rFonts w:eastAsiaTheme="minorHAnsi"/>
                <w:noProof/>
                <w:lang w:eastAsia="en-US"/>
              </w:rPr>
            </w:pPr>
          </w:p>
        </w:tc>
        <w:tc>
          <w:tcPr>
            <w:tcW w:w="8977" w:type="dxa"/>
            <w:tcBorders>
              <w:top w:val="nil"/>
              <w:left w:val="nil"/>
              <w:bottom w:val="nil"/>
              <w:right w:val="nil"/>
            </w:tcBorders>
          </w:tcPr>
          <w:p w14:paraId="73757611" w14:textId="77777777" w:rsidR="002E7D29" w:rsidRPr="002E7D29" w:rsidRDefault="002E7D29" w:rsidP="002E7D29">
            <w:pPr>
              <w:suppressAutoHyphens w:val="0"/>
              <w:ind w:right="-31"/>
              <w:jc w:val="both"/>
              <w:rPr>
                <w:rFonts w:eastAsiaTheme="minorHAnsi"/>
                <w:lang w:eastAsia="en-US"/>
              </w:rPr>
            </w:pPr>
            <w:r w:rsidRPr="002E7D29">
              <w:rPr>
                <w:rFonts w:eastAsiaTheme="minorHAnsi"/>
                <w:lang w:eastAsia="en-US"/>
              </w:rPr>
              <w:t xml:space="preserve">Pirkėjo naudojamos rezervinio kopijavimo programinės įrangos </w:t>
            </w:r>
            <w:proofErr w:type="spellStart"/>
            <w:r w:rsidRPr="002E7D29">
              <w:rPr>
                <w:rFonts w:eastAsiaTheme="minorHAnsi"/>
                <w:lang w:eastAsia="en-US"/>
              </w:rPr>
              <w:t>Arctera</w:t>
            </w:r>
            <w:proofErr w:type="spellEnd"/>
            <w:r w:rsidRPr="002E7D29">
              <w:rPr>
                <w:rFonts w:eastAsiaTheme="minorHAnsi"/>
                <w:lang w:eastAsia="en-US"/>
              </w:rPr>
              <w:t xml:space="preserve"> </w:t>
            </w:r>
            <w:proofErr w:type="spellStart"/>
            <w:r w:rsidRPr="002E7D29">
              <w:rPr>
                <w:rFonts w:eastAsiaTheme="minorHAnsi"/>
                <w:lang w:eastAsia="en-US"/>
              </w:rPr>
              <w:t>Backup</w:t>
            </w:r>
            <w:proofErr w:type="spellEnd"/>
            <w:r w:rsidRPr="002E7D29">
              <w:rPr>
                <w:rFonts w:eastAsiaTheme="minorHAnsi"/>
                <w:lang w:eastAsia="en-US"/>
              </w:rPr>
              <w:t xml:space="preserve"> </w:t>
            </w:r>
            <w:proofErr w:type="spellStart"/>
            <w:r w:rsidRPr="002E7D29">
              <w:rPr>
                <w:rFonts w:eastAsiaTheme="minorHAnsi"/>
                <w:lang w:eastAsia="en-US"/>
              </w:rPr>
              <w:t>Exec</w:t>
            </w:r>
            <w:proofErr w:type="spellEnd"/>
            <w:r w:rsidRPr="002E7D29">
              <w:rPr>
                <w:rFonts w:eastAsiaTheme="minorHAnsi"/>
                <w:lang w:eastAsia="en-US"/>
              </w:rPr>
              <w:t xml:space="preserve"> 25 licencijos komplektą sudaro:</w:t>
            </w:r>
          </w:p>
          <w:p w14:paraId="7C3F722B" w14:textId="77777777" w:rsidR="002E7D29" w:rsidRPr="002E7D29" w:rsidRDefault="002E7D29" w:rsidP="002E7D29">
            <w:pPr>
              <w:suppressAutoHyphens w:val="0"/>
              <w:ind w:right="-31"/>
              <w:jc w:val="both"/>
              <w:rPr>
                <w:rFonts w:eastAsiaTheme="minorHAnsi"/>
                <w:lang w:eastAsia="en-US"/>
              </w:rPr>
            </w:pPr>
            <w:proofErr w:type="spellStart"/>
            <w:r w:rsidRPr="002E7D29">
              <w:rPr>
                <w:rFonts w:eastAsiaTheme="minorHAnsi"/>
                <w:lang w:eastAsia="en-US"/>
              </w:rPr>
              <w:t>Arctera</w:t>
            </w:r>
            <w:proofErr w:type="spellEnd"/>
            <w:r w:rsidRPr="002E7D29">
              <w:rPr>
                <w:rFonts w:eastAsiaTheme="minorHAnsi"/>
                <w:lang w:eastAsia="en-US"/>
              </w:rPr>
              <w:t xml:space="preserve"> </w:t>
            </w:r>
            <w:proofErr w:type="spellStart"/>
            <w:r w:rsidRPr="002E7D29">
              <w:rPr>
                <w:rFonts w:eastAsiaTheme="minorHAnsi"/>
                <w:lang w:eastAsia="en-US"/>
              </w:rPr>
              <w:t>Backup</w:t>
            </w:r>
            <w:proofErr w:type="spellEnd"/>
            <w:r w:rsidRPr="002E7D29">
              <w:rPr>
                <w:rFonts w:eastAsiaTheme="minorHAnsi"/>
                <w:lang w:eastAsia="en-US"/>
              </w:rPr>
              <w:t xml:space="preserve"> </w:t>
            </w:r>
            <w:proofErr w:type="spellStart"/>
            <w:r w:rsidRPr="002E7D29">
              <w:rPr>
                <w:rFonts w:eastAsiaTheme="minorHAnsi"/>
                <w:lang w:eastAsia="en-US"/>
              </w:rPr>
              <w:t>Exec</w:t>
            </w:r>
            <w:proofErr w:type="spellEnd"/>
            <w:r w:rsidRPr="002E7D29">
              <w:rPr>
                <w:rFonts w:eastAsiaTheme="minorHAnsi"/>
                <w:lang w:eastAsia="en-US"/>
              </w:rPr>
              <w:t xml:space="preserve"> 25 Server 1 vnt.</w:t>
            </w:r>
          </w:p>
          <w:p w14:paraId="290BCF89" w14:textId="77777777" w:rsidR="002E7D29" w:rsidRPr="002E7D29" w:rsidRDefault="002E7D29" w:rsidP="002E7D29">
            <w:pPr>
              <w:suppressAutoHyphens w:val="0"/>
              <w:ind w:right="-31"/>
              <w:jc w:val="both"/>
              <w:rPr>
                <w:rFonts w:eastAsiaTheme="minorHAnsi"/>
                <w:lang w:eastAsia="en-US"/>
              </w:rPr>
            </w:pPr>
            <w:proofErr w:type="spellStart"/>
            <w:r w:rsidRPr="002E7D29">
              <w:rPr>
                <w:rFonts w:eastAsiaTheme="minorHAnsi"/>
                <w:lang w:eastAsia="en-US"/>
              </w:rPr>
              <w:t>Arctera</w:t>
            </w:r>
            <w:proofErr w:type="spellEnd"/>
            <w:r w:rsidRPr="002E7D29">
              <w:rPr>
                <w:rFonts w:eastAsiaTheme="minorHAnsi"/>
                <w:lang w:eastAsia="en-US"/>
              </w:rPr>
              <w:t xml:space="preserve"> </w:t>
            </w:r>
            <w:proofErr w:type="spellStart"/>
            <w:r w:rsidRPr="002E7D29">
              <w:rPr>
                <w:rFonts w:eastAsiaTheme="minorHAnsi"/>
                <w:lang w:eastAsia="en-US"/>
              </w:rPr>
              <w:t>Backup</w:t>
            </w:r>
            <w:proofErr w:type="spellEnd"/>
            <w:r w:rsidRPr="002E7D29">
              <w:rPr>
                <w:rFonts w:eastAsiaTheme="minorHAnsi"/>
                <w:lang w:eastAsia="en-US"/>
              </w:rPr>
              <w:t xml:space="preserve"> </w:t>
            </w:r>
            <w:proofErr w:type="spellStart"/>
            <w:r w:rsidRPr="002E7D29">
              <w:rPr>
                <w:rFonts w:eastAsiaTheme="minorHAnsi"/>
                <w:lang w:eastAsia="en-US"/>
              </w:rPr>
              <w:t>Exec</w:t>
            </w:r>
            <w:proofErr w:type="spellEnd"/>
            <w:r w:rsidRPr="002E7D29">
              <w:rPr>
                <w:rFonts w:eastAsiaTheme="minorHAnsi"/>
                <w:lang w:eastAsia="en-US"/>
              </w:rPr>
              <w:t xml:space="preserve"> 25 </w:t>
            </w:r>
            <w:proofErr w:type="spellStart"/>
            <w:r w:rsidRPr="002E7D29">
              <w:rPr>
                <w:rFonts w:eastAsiaTheme="minorHAnsi"/>
                <w:lang w:eastAsia="en-US"/>
              </w:rPr>
              <w:t>Agent</w:t>
            </w:r>
            <w:proofErr w:type="spellEnd"/>
            <w:r w:rsidRPr="002E7D29">
              <w:rPr>
                <w:rFonts w:eastAsiaTheme="minorHAnsi"/>
                <w:lang w:eastAsia="en-US"/>
              </w:rPr>
              <w:t xml:space="preserve"> </w:t>
            </w:r>
            <w:proofErr w:type="spellStart"/>
            <w:r w:rsidRPr="002E7D29">
              <w:rPr>
                <w:rFonts w:eastAsiaTheme="minorHAnsi"/>
                <w:lang w:eastAsia="en-US"/>
              </w:rPr>
              <w:t>for</w:t>
            </w:r>
            <w:proofErr w:type="spellEnd"/>
            <w:r w:rsidRPr="002E7D29">
              <w:rPr>
                <w:rFonts w:eastAsiaTheme="minorHAnsi"/>
                <w:lang w:eastAsia="en-US"/>
              </w:rPr>
              <w:t xml:space="preserve"> Windows 2 vnt.</w:t>
            </w:r>
          </w:p>
          <w:p w14:paraId="4525949C" w14:textId="77777777" w:rsidR="002E7D29" w:rsidRPr="002E7D29" w:rsidRDefault="002E7D29" w:rsidP="002E7D29">
            <w:pPr>
              <w:suppressAutoHyphens w:val="0"/>
              <w:ind w:right="-31"/>
              <w:jc w:val="both"/>
              <w:rPr>
                <w:rFonts w:eastAsiaTheme="minorHAnsi"/>
                <w:lang w:eastAsia="en-US"/>
              </w:rPr>
            </w:pPr>
            <w:proofErr w:type="spellStart"/>
            <w:r w:rsidRPr="002E7D29">
              <w:rPr>
                <w:rFonts w:eastAsiaTheme="minorHAnsi"/>
                <w:lang w:eastAsia="en-US"/>
              </w:rPr>
              <w:t>Arctera</w:t>
            </w:r>
            <w:proofErr w:type="spellEnd"/>
            <w:r w:rsidRPr="002E7D29">
              <w:rPr>
                <w:rFonts w:eastAsiaTheme="minorHAnsi"/>
                <w:lang w:eastAsia="en-US"/>
              </w:rPr>
              <w:t xml:space="preserve"> </w:t>
            </w:r>
            <w:proofErr w:type="spellStart"/>
            <w:r w:rsidRPr="002E7D29">
              <w:rPr>
                <w:rFonts w:eastAsiaTheme="minorHAnsi"/>
                <w:lang w:eastAsia="en-US"/>
              </w:rPr>
              <w:t>Backup</w:t>
            </w:r>
            <w:proofErr w:type="spellEnd"/>
            <w:r w:rsidRPr="002E7D29">
              <w:rPr>
                <w:rFonts w:eastAsiaTheme="minorHAnsi"/>
                <w:lang w:eastAsia="en-US"/>
              </w:rPr>
              <w:t xml:space="preserve"> </w:t>
            </w:r>
            <w:proofErr w:type="spellStart"/>
            <w:r w:rsidRPr="002E7D29">
              <w:rPr>
                <w:rFonts w:eastAsiaTheme="minorHAnsi"/>
                <w:lang w:eastAsia="en-US"/>
              </w:rPr>
              <w:t>Exec</w:t>
            </w:r>
            <w:proofErr w:type="spellEnd"/>
            <w:r w:rsidRPr="002E7D29">
              <w:rPr>
                <w:rFonts w:eastAsiaTheme="minorHAnsi"/>
                <w:lang w:eastAsia="en-US"/>
              </w:rPr>
              <w:t xml:space="preserve"> 25 </w:t>
            </w:r>
            <w:proofErr w:type="spellStart"/>
            <w:r w:rsidRPr="002E7D29">
              <w:rPr>
                <w:rFonts w:eastAsiaTheme="minorHAnsi"/>
                <w:lang w:eastAsia="en-US"/>
              </w:rPr>
              <w:t>Agent</w:t>
            </w:r>
            <w:proofErr w:type="spellEnd"/>
            <w:r w:rsidRPr="002E7D29">
              <w:rPr>
                <w:rFonts w:eastAsiaTheme="minorHAnsi"/>
                <w:lang w:eastAsia="en-US"/>
              </w:rPr>
              <w:t xml:space="preserve"> </w:t>
            </w:r>
            <w:proofErr w:type="spellStart"/>
            <w:r w:rsidRPr="002E7D29">
              <w:rPr>
                <w:rFonts w:eastAsiaTheme="minorHAnsi"/>
                <w:lang w:eastAsia="en-US"/>
              </w:rPr>
              <w:t>for</w:t>
            </w:r>
            <w:proofErr w:type="spellEnd"/>
            <w:r w:rsidRPr="002E7D29">
              <w:rPr>
                <w:rFonts w:eastAsiaTheme="minorHAnsi"/>
                <w:lang w:eastAsia="en-US"/>
              </w:rPr>
              <w:t xml:space="preserve"> </w:t>
            </w:r>
            <w:proofErr w:type="spellStart"/>
            <w:r w:rsidRPr="002E7D29">
              <w:rPr>
                <w:rFonts w:eastAsiaTheme="minorHAnsi"/>
                <w:lang w:eastAsia="en-US"/>
              </w:rPr>
              <w:t>Applications</w:t>
            </w:r>
            <w:proofErr w:type="spellEnd"/>
            <w:r w:rsidRPr="002E7D29">
              <w:rPr>
                <w:rFonts w:eastAsiaTheme="minorHAnsi"/>
                <w:lang w:eastAsia="en-US"/>
              </w:rPr>
              <w:t xml:space="preserve"> </w:t>
            </w:r>
            <w:proofErr w:type="spellStart"/>
            <w:r w:rsidRPr="002E7D29">
              <w:rPr>
                <w:rFonts w:eastAsiaTheme="minorHAnsi"/>
                <w:lang w:eastAsia="en-US"/>
              </w:rPr>
              <w:t>and</w:t>
            </w:r>
            <w:proofErr w:type="spellEnd"/>
            <w:r w:rsidRPr="002E7D29">
              <w:rPr>
                <w:rFonts w:eastAsiaTheme="minorHAnsi"/>
                <w:lang w:eastAsia="en-US"/>
              </w:rPr>
              <w:t xml:space="preserve"> </w:t>
            </w:r>
            <w:proofErr w:type="spellStart"/>
            <w:r w:rsidRPr="002E7D29">
              <w:rPr>
                <w:rFonts w:eastAsiaTheme="minorHAnsi"/>
                <w:lang w:eastAsia="en-US"/>
              </w:rPr>
              <w:t>DataBases</w:t>
            </w:r>
            <w:proofErr w:type="spellEnd"/>
            <w:r w:rsidRPr="002E7D29">
              <w:rPr>
                <w:rFonts w:eastAsiaTheme="minorHAnsi"/>
                <w:lang w:eastAsia="en-US"/>
              </w:rPr>
              <w:t xml:space="preserve"> 2 vnt.                                                                    </w:t>
            </w:r>
          </w:p>
        </w:tc>
      </w:tr>
    </w:tbl>
    <w:p w14:paraId="7C315EF3" w14:textId="77777777" w:rsidR="002E7D29" w:rsidRDefault="002E7D29" w:rsidP="0048326B">
      <w:pPr>
        <w:suppressAutoHyphens w:val="0"/>
        <w:contextualSpacing/>
        <w:jc w:val="both"/>
        <w:rPr>
          <w:rFonts w:eastAsia="Calibri"/>
          <w:szCs w:val="22"/>
          <w:lang w:eastAsia="en-US"/>
        </w:rPr>
      </w:pPr>
    </w:p>
    <w:tbl>
      <w:tblPr>
        <w:tblW w:w="969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8977"/>
      </w:tblGrid>
      <w:tr w:rsidR="00DA5429" w:rsidRPr="00DA5429" w14:paraId="12914F39" w14:textId="77777777" w:rsidTr="00DA5429">
        <w:trPr>
          <w:trHeight w:val="315"/>
        </w:trPr>
        <w:tc>
          <w:tcPr>
            <w:tcW w:w="717" w:type="dxa"/>
            <w:tcBorders>
              <w:top w:val="nil"/>
              <w:left w:val="nil"/>
              <w:bottom w:val="nil"/>
              <w:right w:val="nil"/>
            </w:tcBorders>
            <w:noWrap/>
          </w:tcPr>
          <w:p w14:paraId="356C633F" w14:textId="0FC9B8F9" w:rsidR="00DA5429" w:rsidRPr="00DA5429" w:rsidRDefault="00DA5429" w:rsidP="00DA5429">
            <w:pPr>
              <w:suppressAutoHyphens w:val="0"/>
              <w:ind w:left="-82"/>
              <w:rPr>
                <w:rFonts w:eastAsiaTheme="minorHAnsi"/>
                <w:b/>
                <w:noProof/>
                <w:lang w:eastAsia="en-US"/>
              </w:rPr>
            </w:pPr>
            <w:r>
              <w:rPr>
                <w:rFonts w:eastAsiaTheme="minorHAnsi"/>
                <w:b/>
                <w:noProof/>
                <w:lang w:eastAsia="en-US"/>
              </w:rPr>
              <w:t>11</w:t>
            </w:r>
            <w:r w:rsidRPr="00DA5429">
              <w:rPr>
                <w:rFonts w:eastAsiaTheme="minorHAnsi"/>
                <w:b/>
                <w:noProof/>
                <w:lang w:eastAsia="en-US"/>
              </w:rPr>
              <w:t>.</w:t>
            </w:r>
          </w:p>
        </w:tc>
        <w:tc>
          <w:tcPr>
            <w:tcW w:w="8977" w:type="dxa"/>
            <w:tcBorders>
              <w:top w:val="nil"/>
              <w:left w:val="nil"/>
              <w:bottom w:val="nil"/>
              <w:right w:val="nil"/>
            </w:tcBorders>
          </w:tcPr>
          <w:p w14:paraId="1A282E9F" w14:textId="77777777" w:rsidR="00DA5429" w:rsidRPr="00DA5429" w:rsidRDefault="00DA5429" w:rsidP="00DA5429">
            <w:pPr>
              <w:suppressAutoHyphens w:val="0"/>
              <w:ind w:right="-31"/>
              <w:jc w:val="both"/>
              <w:rPr>
                <w:rFonts w:eastAsiaTheme="minorHAnsi"/>
                <w:b/>
                <w:noProof/>
                <w:lang w:eastAsia="en-US"/>
              </w:rPr>
            </w:pPr>
            <w:r w:rsidRPr="00DA5429">
              <w:rPr>
                <w:rFonts w:eastAsiaTheme="minorHAnsi"/>
                <w:b/>
                <w:noProof/>
                <w:lang w:eastAsia="en-US"/>
              </w:rPr>
              <w:t>Programinės įrangos licencijų palaikymas Nr. 11 (BVPŽ kodas 72261000-2)</w:t>
            </w:r>
          </w:p>
        </w:tc>
      </w:tr>
      <w:tr w:rsidR="00DA5429" w:rsidRPr="00DA5429" w14:paraId="17AD4688" w14:textId="77777777" w:rsidTr="00DA5429">
        <w:trPr>
          <w:trHeight w:val="315"/>
        </w:trPr>
        <w:tc>
          <w:tcPr>
            <w:tcW w:w="717" w:type="dxa"/>
            <w:tcBorders>
              <w:top w:val="nil"/>
              <w:left w:val="nil"/>
              <w:bottom w:val="nil"/>
              <w:right w:val="nil"/>
            </w:tcBorders>
            <w:noWrap/>
          </w:tcPr>
          <w:p w14:paraId="6B98FFCB" w14:textId="05B26DB5" w:rsidR="00DA5429" w:rsidRPr="00DA5429" w:rsidRDefault="00DA5429" w:rsidP="00DA5429">
            <w:pPr>
              <w:suppressAutoHyphens w:val="0"/>
              <w:ind w:left="-82"/>
              <w:rPr>
                <w:rFonts w:eastAsiaTheme="minorHAnsi"/>
                <w:noProof/>
                <w:lang w:eastAsia="en-US"/>
              </w:rPr>
            </w:pPr>
            <w:r>
              <w:rPr>
                <w:rFonts w:eastAsiaTheme="minorHAnsi"/>
                <w:noProof/>
                <w:lang w:eastAsia="en-US"/>
              </w:rPr>
              <w:t>11</w:t>
            </w:r>
            <w:r w:rsidRPr="00DA5429">
              <w:rPr>
                <w:rFonts w:eastAsiaTheme="minorHAnsi"/>
                <w:noProof/>
                <w:lang w:eastAsia="en-US"/>
              </w:rPr>
              <w:t>.1.</w:t>
            </w:r>
          </w:p>
        </w:tc>
        <w:tc>
          <w:tcPr>
            <w:tcW w:w="8977" w:type="dxa"/>
            <w:tcBorders>
              <w:top w:val="nil"/>
              <w:left w:val="nil"/>
              <w:bottom w:val="nil"/>
              <w:right w:val="nil"/>
            </w:tcBorders>
          </w:tcPr>
          <w:p w14:paraId="6799F087" w14:textId="77777777" w:rsidR="00DA5429" w:rsidRPr="00DA5429" w:rsidRDefault="00DA5429" w:rsidP="00DA5429">
            <w:pPr>
              <w:suppressAutoHyphens w:val="0"/>
              <w:ind w:right="-31"/>
              <w:jc w:val="both"/>
              <w:rPr>
                <w:rFonts w:eastAsiaTheme="minorHAnsi"/>
                <w:noProof/>
                <w:lang w:eastAsia="en-US"/>
              </w:rPr>
            </w:pPr>
            <w:r w:rsidRPr="00DA5429">
              <w:rPr>
                <w:rFonts w:eastAsiaTheme="minorHAnsi"/>
                <w:b/>
                <w:noProof/>
                <w:lang w:eastAsia="en-US"/>
              </w:rPr>
              <w:t>„SolarWinds Engineer's Toolset“</w:t>
            </w:r>
            <w:r w:rsidRPr="00DA5429">
              <w:rPr>
                <w:rFonts w:eastAsiaTheme="minorHAnsi"/>
                <w:noProof/>
                <w:lang w:eastAsia="en-US"/>
              </w:rPr>
              <w:t xml:space="preserve"> licencijos palaikymo pratęsimas 36 mėn. laikotarpiui. Licencijos palaikymo pratęsimas privalo suteikti teisę be papildomo mokesčio gauti programinės įrangos pataisymus ir atnaujinimus (naujausias versijas) viso palaikymo pratęsimo metu.</w:t>
            </w:r>
          </w:p>
        </w:tc>
      </w:tr>
    </w:tbl>
    <w:p w14:paraId="0E220494" w14:textId="77777777" w:rsidR="005E1F77" w:rsidRDefault="005E1F77" w:rsidP="0048326B">
      <w:pPr>
        <w:suppressAutoHyphens w:val="0"/>
        <w:contextualSpacing/>
        <w:jc w:val="both"/>
        <w:rPr>
          <w:rFonts w:eastAsia="Calibri"/>
          <w:szCs w:val="22"/>
          <w:lang w:eastAsia="en-US"/>
        </w:rPr>
      </w:pPr>
    </w:p>
    <w:p w14:paraId="21287BF1" w14:textId="77777777" w:rsidR="005E1F77" w:rsidRDefault="005E1F77" w:rsidP="0048326B">
      <w:pPr>
        <w:suppressAutoHyphens w:val="0"/>
        <w:contextualSpacing/>
        <w:jc w:val="both"/>
        <w:rPr>
          <w:rFonts w:eastAsia="Calibri"/>
          <w:szCs w:val="22"/>
          <w:lang w:eastAsia="en-US"/>
        </w:rPr>
      </w:pPr>
    </w:p>
    <w:p w14:paraId="51D2BFE5" w14:textId="2441FCA5" w:rsidR="0048326B" w:rsidRPr="0048326B" w:rsidRDefault="0048326B" w:rsidP="008A4202">
      <w:pPr>
        <w:suppressAutoHyphens w:val="0"/>
        <w:contextualSpacing/>
        <w:jc w:val="both"/>
        <w:rPr>
          <w:rFonts w:eastAsia="Calibri"/>
          <w:szCs w:val="22"/>
          <w:lang w:eastAsia="en-US"/>
        </w:rPr>
      </w:pPr>
      <w:r>
        <w:rPr>
          <w:rFonts w:eastAsia="Calibri"/>
          <w:szCs w:val="22"/>
          <w:lang w:eastAsia="en-US"/>
        </w:rPr>
        <w:tab/>
      </w:r>
      <w:bookmarkStart w:id="0" w:name="_GoBack"/>
      <w:bookmarkEnd w:id="0"/>
    </w:p>
    <w:p w14:paraId="721E7CD5" w14:textId="77777777" w:rsidR="00BD5CB3" w:rsidRDefault="00BD5CB3" w:rsidP="0048326B">
      <w:pPr>
        <w:rPr>
          <w:b/>
          <w:sz w:val="16"/>
          <w:szCs w:val="16"/>
        </w:rPr>
      </w:pPr>
    </w:p>
    <w:p w14:paraId="68072892" w14:textId="096FAEAF" w:rsidR="004D7AF2" w:rsidRPr="00A8098E" w:rsidRDefault="004D7AF2" w:rsidP="004D7AF2">
      <w:pPr>
        <w:jc w:val="center"/>
        <w:rPr>
          <w:b/>
          <w:sz w:val="16"/>
          <w:szCs w:val="16"/>
        </w:rPr>
      </w:pPr>
      <w:r>
        <w:rPr>
          <w:b/>
          <w:sz w:val="16"/>
          <w:szCs w:val="16"/>
        </w:rPr>
        <w:t>________________________________________________________________</w:t>
      </w:r>
    </w:p>
    <w:sectPr w:rsidR="004D7AF2" w:rsidRPr="00A8098E" w:rsidSect="003850E7">
      <w:footerReference w:type="even" r:id="rId8"/>
      <w:footerReference w:type="default" r:id="rId9"/>
      <w:footerReference w:type="first" r:id="rId10"/>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24539" w14:textId="77777777" w:rsidR="000B1282" w:rsidRDefault="000B1282" w:rsidP="00A67DA9">
      <w:r>
        <w:separator/>
      </w:r>
    </w:p>
  </w:endnote>
  <w:endnote w:type="continuationSeparator" w:id="0">
    <w:p w14:paraId="094A647C" w14:textId="77777777" w:rsidR="000B1282" w:rsidRDefault="000B1282" w:rsidP="00A6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B8A5" w14:textId="77777777" w:rsidR="00BD438C" w:rsidRDefault="00BD438C" w:rsidP="00822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5B8A6" w14:textId="77777777" w:rsidR="00BD438C" w:rsidRDefault="00BD438C" w:rsidP="00822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982183"/>
      <w:docPartObj>
        <w:docPartGallery w:val="Page Numbers (Bottom of Page)"/>
        <w:docPartUnique/>
      </w:docPartObj>
    </w:sdtPr>
    <w:sdtEndPr>
      <w:rPr>
        <w:noProof/>
      </w:rPr>
    </w:sdtEndPr>
    <w:sdtContent>
      <w:p w14:paraId="6C029E51" w14:textId="40DE1925" w:rsidR="003850E7" w:rsidRDefault="003850E7">
        <w:pPr>
          <w:pStyle w:val="Footer"/>
          <w:jc w:val="center"/>
        </w:pPr>
        <w:r>
          <w:fldChar w:fldCharType="begin"/>
        </w:r>
        <w:r>
          <w:instrText xml:space="preserve"> PAGE   \* MERGEFORMAT </w:instrText>
        </w:r>
        <w:r>
          <w:fldChar w:fldCharType="separate"/>
        </w:r>
        <w:r w:rsidR="008A4202">
          <w:rPr>
            <w:noProof/>
          </w:rPr>
          <w:t>4</w:t>
        </w:r>
        <w:r>
          <w:rPr>
            <w:noProof/>
          </w:rPr>
          <w:fldChar w:fldCharType="end"/>
        </w:r>
      </w:p>
    </w:sdtContent>
  </w:sdt>
  <w:p w14:paraId="48F5B8A7" w14:textId="77777777" w:rsidR="00BD438C" w:rsidRDefault="00BD438C" w:rsidP="008225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804203"/>
      <w:docPartObj>
        <w:docPartGallery w:val="Page Numbers (Bottom of Page)"/>
        <w:docPartUnique/>
      </w:docPartObj>
    </w:sdtPr>
    <w:sdtEndPr>
      <w:rPr>
        <w:noProof/>
      </w:rPr>
    </w:sdtEndPr>
    <w:sdtContent>
      <w:p w14:paraId="34833BE9" w14:textId="4224082B" w:rsidR="004D5070" w:rsidRDefault="004D5070">
        <w:pPr>
          <w:pStyle w:val="Footer"/>
          <w:jc w:val="center"/>
        </w:pPr>
        <w:r>
          <w:fldChar w:fldCharType="begin"/>
        </w:r>
        <w:r>
          <w:instrText xml:space="preserve"> PAGE   \* MERGEFORMAT </w:instrText>
        </w:r>
        <w:r>
          <w:fldChar w:fldCharType="separate"/>
        </w:r>
        <w:r w:rsidR="008A4202">
          <w:rPr>
            <w:noProof/>
          </w:rPr>
          <w:t>1</w:t>
        </w:r>
        <w:r>
          <w:rPr>
            <w:noProof/>
          </w:rPr>
          <w:fldChar w:fldCharType="end"/>
        </w:r>
      </w:p>
    </w:sdtContent>
  </w:sdt>
  <w:p w14:paraId="019E96D6" w14:textId="77777777" w:rsidR="004D5070" w:rsidRDefault="004D5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57E9" w14:textId="77777777" w:rsidR="000B1282" w:rsidRDefault="000B1282" w:rsidP="00A67DA9">
      <w:r>
        <w:separator/>
      </w:r>
    </w:p>
  </w:footnote>
  <w:footnote w:type="continuationSeparator" w:id="0">
    <w:p w14:paraId="06C88D88" w14:textId="77777777" w:rsidR="000B1282" w:rsidRDefault="000B1282" w:rsidP="00A67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lvlText w:val="%1."/>
      <w:lvlJc w:val="left"/>
      <w:pPr>
        <w:tabs>
          <w:tab w:val="num" w:pos="360"/>
        </w:tabs>
        <w:ind w:left="360" w:hanging="360"/>
      </w:pPr>
      <w:rPr>
        <w:b/>
      </w:rPr>
    </w:lvl>
    <w:lvl w:ilvl="1">
      <w:start w:val="1"/>
      <w:numFmt w:val="decimal"/>
      <w:lvlText w:val="%1.%2."/>
      <w:lvlJc w:val="left"/>
      <w:pPr>
        <w:tabs>
          <w:tab w:val="num" w:pos="540"/>
        </w:tabs>
        <w:ind w:left="540" w:hanging="360"/>
      </w:pPr>
      <w:rPr>
        <w:b/>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rPr>
        <w:b w:val="0"/>
        <w:i w:val="0"/>
      </w:rPr>
    </w:lvl>
    <w:lvl w:ilvl="4">
      <w:start w:val="1"/>
      <w:numFmt w:val="decimal"/>
      <w:lvlText w:val="%1.%2.%3.%4.%5."/>
      <w:lvlJc w:val="left"/>
      <w:pPr>
        <w:tabs>
          <w:tab w:val="num" w:pos="1800"/>
        </w:tabs>
        <w:ind w:left="1800" w:hanging="1080"/>
      </w:pPr>
      <w:rPr>
        <w:b w:val="0"/>
      </w:r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3A16C6A"/>
    <w:multiLevelType w:val="hybridMultilevel"/>
    <w:tmpl w:val="AC26D3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E22D0E"/>
    <w:multiLevelType w:val="multilevel"/>
    <w:tmpl w:val="D7547282"/>
    <w:lvl w:ilvl="0">
      <w:start w:val="2"/>
      <w:numFmt w:val="decimal"/>
      <w:lvlText w:val="%1"/>
      <w:lvlJc w:val="left"/>
      <w:pPr>
        <w:tabs>
          <w:tab w:val="num" w:pos="660"/>
        </w:tabs>
        <w:ind w:left="660" w:hanging="660"/>
      </w:p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2"/>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5A35C9A"/>
    <w:multiLevelType w:val="multilevel"/>
    <w:tmpl w:val="9E0CCA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E83D62"/>
    <w:multiLevelType w:val="hybridMultilevel"/>
    <w:tmpl w:val="7410EA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75E4753"/>
    <w:multiLevelType w:val="multilevel"/>
    <w:tmpl w:val="23B439C0"/>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891DD3"/>
    <w:multiLevelType w:val="hybridMultilevel"/>
    <w:tmpl w:val="BB74C190"/>
    <w:lvl w:ilvl="0" w:tplc="04CEB06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D611AB"/>
    <w:multiLevelType w:val="multilevel"/>
    <w:tmpl w:val="00000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1A5A1D43"/>
    <w:multiLevelType w:val="hybridMultilevel"/>
    <w:tmpl w:val="80BC32B4"/>
    <w:lvl w:ilvl="0" w:tplc="0F0C8BC4">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C476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05F45"/>
    <w:multiLevelType w:val="hybridMultilevel"/>
    <w:tmpl w:val="55D08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BE5C69"/>
    <w:multiLevelType w:val="hybridMultilevel"/>
    <w:tmpl w:val="EF8EA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1277FB"/>
    <w:multiLevelType w:val="multilevel"/>
    <w:tmpl w:val="00000003"/>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rPr>
        <w:b w:val="0"/>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5" w15:restartNumberingAfterBreak="0">
    <w:nsid w:val="250E30CC"/>
    <w:multiLevelType w:val="hybridMultilevel"/>
    <w:tmpl w:val="4978E7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7C313E6"/>
    <w:multiLevelType w:val="multilevel"/>
    <w:tmpl w:val="D912226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3."/>
      <w:lvlJc w:val="left"/>
      <w:pPr>
        <w:tabs>
          <w:tab w:val="num" w:pos="1440"/>
        </w:tabs>
        <w:ind w:left="1440" w:hanging="720"/>
      </w:pPr>
      <w:rPr>
        <w:rFonts w:ascii="Times New Roman" w:eastAsia="Times New Roman" w:hAnsi="Times New Roman" w:cs="Times New Roman"/>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291F4B74"/>
    <w:multiLevelType w:val="multilevel"/>
    <w:tmpl w:val="1D189AAE"/>
    <w:lvl w:ilvl="0">
      <w:start w:val="9"/>
      <w:numFmt w:val="decimal"/>
      <w:lvlText w:val="%1."/>
      <w:lvlJc w:val="left"/>
      <w:pPr>
        <w:tabs>
          <w:tab w:val="num" w:pos="810"/>
        </w:tabs>
        <w:ind w:left="810" w:hanging="810"/>
      </w:pPr>
      <w:rPr>
        <w:rFonts w:hint="default"/>
      </w:rPr>
    </w:lvl>
    <w:lvl w:ilvl="1">
      <w:start w:val="1"/>
      <w:numFmt w:val="decimal"/>
      <w:lvlText w:val="%1.%2."/>
      <w:lvlJc w:val="left"/>
      <w:pPr>
        <w:tabs>
          <w:tab w:val="num" w:pos="908"/>
        </w:tabs>
        <w:ind w:left="908" w:hanging="810"/>
      </w:pPr>
      <w:rPr>
        <w:rFonts w:hint="default"/>
      </w:rPr>
    </w:lvl>
    <w:lvl w:ilvl="2">
      <w:start w:val="1"/>
      <w:numFmt w:val="decimal"/>
      <w:lvlText w:val="%1.%2.%3."/>
      <w:lvlJc w:val="left"/>
      <w:pPr>
        <w:tabs>
          <w:tab w:val="num" w:pos="1006"/>
        </w:tabs>
        <w:ind w:left="1006" w:hanging="810"/>
      </w:pPr>
      <w:rPr>
        <w:rFonts w:hint="default"/>
        <w:b w:val="0"/>
      </w:rPr>
    </w:lvl>
    <w:lvl w:ilvl="3">
      <w:start w:val="1"/>
      <w:numFmt w:val="decimal"/>
      <w:lvlText w:val="%1.%2.%3.%4."/>
      <w:lvlJc w:val="left"/>
      <w:pPr>
        <w:tabs>
          <w:tab w:val="num" w:pos="1104"/>
        </w:tabs>
        <w:ind w:left="1104" w:hanging="810"/>
      </w:pPr>
      <w:rPr>
        <w:rFonts w:hint="default"/>
      </w:rPr>
    </w:lvl>
    <w:lvl w:ilvl="4">
      <w:start w:val="1"/>
      <w:numFmt w:val="decimal"/>
      <w:lvlText w:val="%1.%2.%3.%4.%5."/>
      <w:lvlJc w:val="left"/>
      <w:pPr>
        <w:tabs>
          <w:tab w:val="num" w:pos="1472"/>
        </w:tabs>
        <w:ind w:left="1472" w:hanging="1080"/>
      </w:pPr>
      <w:rPr>
        <w:rFonts w:hint="default"/>
      </w:rPr>
    </w:lvl>
    <w:lvl w:ilvl="5">
      <w:start w:val="1"/>
      <w:numFmt w:val="decimal"/>
      <w:lvlText w:val="%1.%2.%3.%4.%5.%6."/>
      <w:lvlJc w:val="left"/>
      <w:pPr>
        <w:tabs>
          <w:tab w:val="num" w:pos="1570"/>
        </w:tabs>
        <w:ind w:left="1570" w:hanging="1080"/>
      </w:pPr>
      <w:rPr>
        <w:rFonts w:hint="default"/>
      </w:rPr>
    </w:lvl>
    <w:lvl w:ilvl="6">
      <w:start w:val="1"/>
      <w:numFmt w:val="decimal"/>
      <w:lvlText w:val="%1.%2.%3.%4.%5.%6.%7."/>
      <w:lvlJc w:val="left"/>
      <w:pPr>
        <w:tabs>
          <w:tab w:val="num" w:pos="1668"/>
        </w:tabs>
        <w:ind w:left="1668" w:hanging="1080"/>
      </w:pPr>
      <w:rPr>
        <w:rFonts w:hint="default"/>
      </w:rPr>
    </w:lvl>
    <w:lvl w:ilvl="7">
      <w:start w:val="1"/>
      <w:numFmt w:val="decimal"/>
      <w:lvlText w:val="%1.%2.%3.%4.%5.%6.%7.%8."/>
      <w:lvlJc w:val="left"/>
      <w:pPr>
        <w:tabs>
          <w:tab w:val="num" w:pos="2126"/>
        </w:tabs>
        <w:ind w:left="2126" w:hanging="1440"/>
      </w:pPr>
      <w:rPr>
        <w:rFonts w:hint="default"/>
      </w:rPr>
    </w:lvl>
    <w:lvl w:ilvl="8">
      <w:start w:val="1"/>
      <w:numFmt w:val="decimal"/>
      <w:lvlText w:val="%1.%2.%3.%4.%5.%6.%7.%8.%9."/>
      <w:lvlJc w:val="left"/>
      <w:pPr>
        <w:tabs>
          <w:tab w:val="num" w:pos="2224"/>
        </w:tabs>
        <w:ind w:left="2224" w:hanging="1440"/>
      </w:pPr>
      <w:rPr>
        <w:rFonts w:hint="default"/>
      </w:rPr>
    </w:lvl>
  </w:abstractNum>
  <w:abstractNum w:abstractNumId="18" w15:restartNumberingAfterBreak="0">
    <w:nsid w:val="2C4F008E"/>
    <w:multiLevelType w:val="hybridMultilevel"/>
    <w:tmpl w:val="D6087720"/>
    <w:lvl w:ilvl="0" w:tplc="A9EAF0DA">
      <w:start w:val="5"/>
      <w:numFmt w:val="bullet"/>
      <w:lvlText w:val="-"/>
      <w:lvlJc w:val="left"/>
      <w:pPr>
        <w:ind w:left="720" w:hanging="360"/>
      </w:pPr>
      <w:rPr>
        <w:rFonts w:ascii="Segoe UI" w:eastAsia="Times New Roman" w:hAnsi="Segoe UI" w:cs="Segoe U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4821FDE"/>
    <w:multiLevelType w:val="multilevel"/>
    <w:tmpl w:val="0427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6041F9"/>
    <w:multiLevelType w:val="hybridMultilevel"/>
    <w:tmpl w:val="BAE2182A"/>
    <w:lvl w:ilvl="0" w:tplc="BC60660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655FE"/>
    <w:multiLevelType w:val="hybridMultilevel"/>
    <w:tmpl w:val="4F4444B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C7488"/>
    <w:multiLevelType w:val="hybridMultilevel"/>
    <w:tmpl w:val="923EC4AA"/>
    <w:lvl w:ilvl="0" w:tplc="FC2499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5B209D"/>
    <w:multiLevelType w:val="hybridMultilevel"/>
    <w:tmpl w:val="804C4E4E"/>
    <w:lvl w:ilvl="0" w:tplc="FC2499D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1416B3"/>
    <w:multiLevelType w:val="hybridMultilevel"/>
    <w:tmpl w:val="15EEA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3F05F0"/>
    <w:multiLevelType w:val="hybridMultilevel"/>
    <w:tmpl w:val="35F451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7A5C8C"/>
    <w:multiLevelType w:val="hybridMultilevel"/>
    <w:tmpl w:val="59CA2EBE"/>
    <w:lvl w:ilvl="0" w:tplc="04CEB06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361627"/>
    <w:multiLevelType w:val="multilevel"/>
    <w:tmpl w:val="179C17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FE475DD"/>
    <w:multiLevelType w:val="multilevel"/>
    <w:tmpl w:val="07BAE6E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7"/>
      <w:numFmt w:val="decimal"/>
      <w:lvlText w:val="%1.%2.%3"/>
      <w:lvlJc w:val="left"/>
      <w:pPr>
        <w:tabs>
          <w:tab w:val="num" w:pos="720"/>
        </w:tabs>
        <w:ind w:left="720" w:hanging="720"/>
      </w:pPr>
      <w:rPr>
        <w:rFonts w:hint="default"/>
      </w:rPr>
    </w:lvl>
    <w:lvl w:ilvl="3">
      <w:start w:val="8"/>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0522BA"/>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15:restartNumberingAfterBreak="0">
    <w:nsid w:val="69FB09C8"/>
    <w:multiLevelType w:val="multilevel"/>
    <w:tmpl w:val="07BAE6E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9"/>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5F18B1"/>
    <w:multiLevelType w:val="multilevel"/>
    <w:tmpl w:val="E87C96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1777"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2067" w:hanging="432"/>
      </w:pPr>
      <w:rPr>
        <w:b w:val="0"/>
      </w:rPr>
    </w:lvl>
    <w:lvl w:ilvl="2">
      <w:start w:val="1"/>
      <w:numFmt w:val="decimal"/>
      <w:suff w:val="space"/>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33" w15:restartNumberingAfterBreak="0">
    <w:nsid w:val="6E92325E"/>
    <w:multiLevelType w:val="hybridMultilevel"/>
    <w:tmpl w:val="F5FA17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321CD"/>
    <w:multiLevelType w:val="hybridMultilevel"/>
    <w:tmpl w:val="4EF68A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86464BE"/>
    <w:multiLevelType w:val="hybridMultilevel"/>
    <w:tmpl w:val="E59880DC"/>
    <w:lvl w:ilvl="0" w:tplc="BF80468C">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17"/>
  </w:num>
  <w:num w:numId="4">
    <w:abstractNumId w:val="0"/>
  </w:num>
  <w:num w:numId="5">
    <w:abstractNumId w:val="5"/>
  </w:num>
  <w:num w:numId="6">
    <w:abstractNumId w:val="7"/>
  </w:num>
  <w:num w:numId="7">
    <w:abstractNumId w:val="4"/>
    <w:lvlOverride w:ilvl="0">
      <w:startOverride w:val="2"/>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8"/>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3"/>
  </w:num>
  <w:num w:numId="13">
    <w:abstractNumId w:val="22"/>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5"/>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4"/>
  </w:num>
  <w:num w:numId="21">
    <w:abstractNumId w:val="12"/>
  </w:num>
  <w:num w:numId="22">
    <w:abstractNumId w:val="10"/>
  </w:num>
  <w:num w:numId="23">
    <w:abstractNumId w:val="36"/>
  </w:num>
  <w:num w:numId="24">
    <w:abstractNumId w:val="13"/>
  </w:num>
  <w:num w:numId="25">
    <w:abstractNumId w:val="21"/>
  </w:num>
  <w:num w:numId="26">
    <w:abstractNumId w:val="15"/>
  </w:num>
  <w:num w:numId="27">
    <w:abstractNumId w:val="24"/>
  </w:num>
  <w:num w:numId="28">
    <w:abstractNumId w:val="19"/>
  </w:num>
  <w:num w:numId="29">
    <w:abstractNumId w:val="33"/>
  </w:num>
  <w:num w:numId="30">
    <w:abstractNumId w:val="2"/>
  </w:num>
  <w:num w:numId="31">
    <w:abstractNumId w:val="29"/>
  </w:num>
  <w:num w:numId="32">
    <w:abstractNumId w:val="3"/>
  </w:num>
  <w:num w:numId="33">
    <w:abstractNumId w:val="9"/>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CD"/>
    <w:rsid w:val="0000053A"/>
    <w:rsid w:val="00000A59"/>
    <w:rsid w:val="0000282B"/>
    <w:rsid w:val="00002E8E"/>
    <w:rsid w:val="000030DC"/>
    <w:rsid w:val="00003BE2"/>
    <w:rsid w:val="00003ECA"/>
    <w:rsid w:val="00004484"/>
    <w:rsid w:val="00004AA4"/>
    <w:rsid w:val="000050F6"/>
    <w:rsid w:val="00007AC8"/>
    <w:rsid w:val="00007F20"/>
    <w:rsid w:val="0001223A"/>
    <w:rsid w:val="00014306"/>
    <w:rsid w:val="00017006"/>
    <w:rsid w:val="0001707D"/>
    <w:rsid w:val="00017C7F"/>
    <w:rsid w:val="00021556"/>
    <w:rsid w:val="0002176D"/>
    <w:rsid w:val="00021C23"/>
    <w:rsid w:val="0002257E"/>
    <w:rsid w:val="00023AEA"/>
    <w:rsid w:val="00024165"/>
    <w:rsid w:val="00025267"/>
    <w:rsid w:val="00025FC4"/>
    <w:rsid w:val="00026AF4"/>
    <w:rsid w:val="000270A2"/>
    <w:rsid w:val="00027980"/>
    <w:rsid w:val="00027CED"/>
    <w:rsid w:val="00030792"/>
    <w:rsid w:val="00035DCC"/>
    <w:rsid w:val="000377A8"/>
    <w:rsid w:val="000406EB"/>
    <w:rsid w:val="000427CE"/>
    <w:rsid w:val="0004342D"/>
    <w:rsid w:val="00044F28"/>
    <w:rsid w:val="00051956"/>
    <w:rsid w:val="00052393"/>
    <w:rsid w:val="00056A88"/>
    <w:rsid w:val="00057463"/>
    <w:rsid w:val="00060F60"/>
    <w:rsid w:val="0006154E"/>
    <w:rsid w:val="00061B17"/>
    <w:rsid w:val="00062B03"/>
    <w:rsid w:val="0006334C"/>
    <w:rsid w:val="00064868"/>
    <w:rsid w:val="00064BB9"/>
    <w:rsid w:val="00064F85"/>
    <w:rsid w:val="0006560E"/>
    <w:rsid w:val="00066E7C"/>
    <w:rsid w:val="00067C1A"/>
    <w:rsid w:val="000720EC"/>
    <w:rsid w:val="00073E24"/>
    <w:rsid w:val="00075212"/>
    <w:rsid w:val="00075D1D"/>
    <w:rsid w:val="0007634B"/>
    <w:rsid w:val="00076A2A"/>
    <w:rsid w:val="00077EAF"/>
    <w:rsid w:val="00080689"/>
    <w:rsid w:val="00081A37"/>
    <w:rsid w:val="00082E3D"/>
    <w:rsid w:val="000838EE"/>
    <w:rsid w:val="000843EE"/>
    <w:rsid w:val="00085262"/>
    <w:rsid w:val="00086ED7"/>
    <w:rsid w:val="00087FA3"/>
    <w:rsid w:val="00090BE0"/>
    <w:rsid w:val="00091923"/>
    <w:rsid w:val="000920A8"/>
    <w:rsid w:val="000932F8"/>
    <w:rsid w:val="000954A3"/>
    <w:rsid w:val="00097183"/>
    <w:rsid w:val="00097733"/>
    <w:rsid w:val="000A3307"/>
    <w:rsid w:val="000A3694"/>
    <w:rsid w:val="000A453A"/>
    <w:rsid w:val="000A7149"/>
    <w:rsid w:val="000A7FB8"/>
    <w:rsid w:val="000A7FDE"/>
    <w:rsid w:val="000B0067"/>
    <w:rsid w:val="000B0144"/>
    <w:rsid w:val="000B01CE"/>
    <w:rsid w:val="000B1282"/>
    <w:rsid w:val="000B2705"/>
    <w:rsid w:val="000B2EEC"/>
    <w:rsid w:val="000B3671"/>
    <w:rsid w:val="000B386A"/>
    <w:rsid w:val="000B3CBF"/>
    <w:rsid w:val="000B50CB"/>
    <w:rsid w:val="000B5F7F"/>
    <w:rsid w:val="000B6518"/>
    <w:rsid w:val="000B6BBF"/>
    <w:rsid w:val="000B7F71"/>
    <w:rsid w:val="000C02EA"/>
    <w:rsid w:val="000C0DF7"/>
    <w:rsid w:val="000C1705"/>
    <w:rsid w:val="000C3ABE"/>
    <w:rsid w:val="000C51FD"/>
    <w:rsid w:val="000C5205"/>
    <w:rsid w:val="000C5D6D"/>
    <w:rsid w:val="000C7FD6"/>
    <w:rsid w:val="000D006F"/>
    <w:rsid w:val="000D0235"/>
    <w:rsid w:val="000D0397"/>
    <w:rsid w:val="000D0BCF"/>
    <w:rsid w:val="000D1821"/>
    <w:rsid w:val="000D204E"/>
    <w:rsid w:val="000D278A"/>
    <w:rsid w:val="000D2B70"/>
    <w:rsid w:val="000D2C25"/>
    <w:rsid w:val="000D3585"/>
    <w:rsid w:val="000D3E8C"/>
    <w:rsid w:val="000D5816"/>
    <w:rsid w:val="000D6124"/>
    <w:rsid w:val="000D64CE"/>
    <w:rsid w:val="000D6C0E"/>
    <w:rsid w:val="000E13C3"/>
    <w:rsid w:val="000E17C7"/>
    <w:rsid w:val="000E21EC"/>
    <w:rsid w:val="000E2282"/>
    <w:rsid w:val="000E2AC6"/>
    <w:rsid w:val="000E2C80"/>
    <w:rsid w:val="000E5BF7"/>
    <w:rsid w:val="000E6A4F"/>
    <w:rsid w:val="000E77E7"/>
    <w:rsid w:val="000E78EC"/>
    <w:rsid w:val="000F3344"/>
    <w:rsid w:val="000F4980"/>
    <w:rsid w:val="000F4D82"/>
    <w:rsid w:val="000F4E77"/>
    <w:rsid w:val="000F511F"/>
    <w:rsid w:val="000F56D0"/>
    <w:rsid w:val="000F61E3"/>
    <w:rsid w:val="000F62CD"/>
    <w:rsid w:val="0010114A"/>
    <w:rsid w:val="001021EE"/>
    <w:rsid w:val="00102215"/>
    <w:rsid w:val="00105A24"/>
    <w:rsid w:val="0010714A"/>
    <w:rsid w:val="00107E80"/>
    <w:rsid w:val="00110336"/>
    <w:rsid w:val="00110571"/>
    <w:rsid w:val="0011186A"/>
    <w:rsid w:val="00112760"/>
    <w:rsid w:val="001132F1"/>
    <w:rsid w:val="00113483"/>
    <w:rsid w:val="00113709"/>
    <w:rsid w:val="00114362"/>
    <w:rsid w:val="001148FB"/>
    <w:rsid w:val="00117721"/>
    <w:rsid w:val="001212FB"/>
    <w:rsid w:val="00122C91"/>
    <w:rsid w:val="001259AD"/>
    <w:rsid w:val="001265EA"/>
    <w:rsid w:val="001274D3"/>
    <w:rsid w:val="001275B9"/>
    <w:rsid w:val="0012790F"/>
    <w:rsid w:val="00130B07"/>
    <w:rsid w:val="001318D4"/>
    <w:rsid w:val="001324D5"/>
    <w:rsid w:val="00132F5A"/>
    <w:rsid w:val="00133358"/>
    <w:rsid w:val="0013421B"/>
    <w:rsid w:val="0013574E"/>
    <w:rsid w:val="001358B0"/>
    <w:rsid w:val="0013779D"/>
    <w:rsid w:val="001377DC"/>
    <w:rsid w:val="00140FA5"/>
    <w:rsid w:val="00142047"/>
    <w:rsid w:val="00144007"/>
    <w:rsid w:val="00144392"/>
    <w:rsid w:val="00144BB1"/>
    <w:rsid w:val="001458D6"/>
    <w:rsid w:val="00146334"/>
    <w:rsid w:val="0014694E"/>
    <w:rsid w:val="001476F6"/>
    <w:rsid w:val="00147BCA"/>
    <w:rsid w:val="00152967"/>
    <w:rsid w:val="00153E94"/>
    <w:rsid w:val="00153FED"/>
    <w:rsid w:val="00154545"/>
    <w:rsid w:val="00156269"/>
    <w:rsid w:val="001562C4"/>
    <w:rsid w:val="001612FC"/>
    <w:rsid w:val="00161804"/>
    <w:rsid w:val="001624BF"/>
    <w:rsid w:val="00163B03"/>
    <w:rsid w:val="0016408F"/>
    <w:rsid w:val="001644A4"/>
    <w:rsid w:val="0016483D"/>
    <w:rsid w:val="00164A23"/>
    <w:rsid w:val="00170F96"/>
    <w:rsid w:val="00171375"/>
    <w:rsid w:val="00172271"/>
    <w:rsid w:val="0017345E"/>
    <w:rsid w:val="0017395D"/>
    <w:rsid w:val="00173983"/>
    <w:rsid w:val="001754B6"/>
    <w:rsid w:val="00176F0A"/>
    <w:rsid w:val="00180562"/>
    <w:rsid w:val="00180E6F"/>
    <w:rsid w:val="0018372A"/>
    <w:rsid w:val="00190963"/>
    <w:rsid w:val="001915E5"/>
    <w:rsid w:val="0019173C"/>
    <w:rsid w:val="00192BBC"/>
    <w:rsid w:val="001954A4"/>
    <w:rsid w:val="0019588D"/>
    <w:rsid w:val="00195D63"/>
    <w:rsid w:val="00196AD4"/>
    <w:rsid w:val="00197D3E"/>
    <w:rsid w:val="001A0028"/>
    <w:rsid w:val="001A250C"/>
    <w:rsid w:val="001A2D53"/>
    <w:rsid w:val="001A31AE"/>
    <w:rsid w:val="001A4C5F"/>
    <w:rsid w:val="001A54E4"/>
    <w:rsid w:val="001A5D33"/>
    <w:rsid w:val="001A6A14"/>
    <w:rsid w:val="001A6ED0"/>
    <w:rsid w:val="001B1D96"/>
    <w:rsid w:val="001B337F"/>
    <w:rsid w:val="001B638E"/>
    <w:rsid w:val="001C108C"/>
    <w:rsid w:val="001C1E2A"/>
    <w:rsid w:val="001D0884"/>
    <w:rsid w:val="001D09BD"/>
    <w:rsid w:val="001D413E"/>
    <w:rsid w:val="001D52ED"/>
    <w:rsid w:val="001D5EEB"/>
    <w:rsid w:val="001D78F4"/>
    <w:rsid w:val="001E0452"/>
    <w:rsid w:val="001E0AC0"/>
    <w:rsid w:val="001E1537"/>
    <w:rsid w:val="001E172A"/>
    <w:rsid w:val="001E1B9F"/>
    <w:rsid w:val="001E1C2A"/>
    <w:rsid w:val="001E4DEB"/>
    <w:rsid w:val="001E511C"/>
    <w:rsid w:val="001E68E6"/>
    <w:rsid w:val="001E7136"/>
    <w:rsid w:val="001E7317"/>
    <w:rsid w:val="001F005E"/>
    <w:rsid w:val="001F23BD"/>
    <w:rsid w:val="001F3007"/>
    <w:rsid w:val="001F43CB"/>
    <w:rsid w:val="001F6989"/>
    <w:rsid w:val="001F7700"/>
    <w:rsid w:val="00200446"/>
    <w:rsid w:val="00201BB9"/>
    <w:rsid w:val="002038F3"/>
    <w:rsid w:val="002039B7"/>
    <w:rsid w:val="00205B48"/>
    <w:rsid w:val="00205BEB"/>
    <w:rsid w:val="00205E03"/>
    <w:rsid w:val="00206CF4"/>
    <w:rsid w:val="002116C2"/>
    <w:rsid w:val="00211912"/>
    <w:rsid w:val="00211DD7"/>
    <w:rsid w:val="00212FB7"/>
    <w:rsid w:val="002139E0"/>
    <w:rsid w:val="00214A26"/>
    <w:rsid w:val="002179BB"/>
    <w:rsid w:val="002203A2"/>
    <w:rsid w:val="0022205A"/>
    <w:rsid w:val="002224D6"/>
    <w:rsid w:val="0022253B"/>
    <w:rsid w:val="00222B15"/>
    <w:rsid w:val="002240BD"/>
    <w:rsid w:val="0022431F"/>
    <w:rsid w:val="00224E73"/>
    <w:rsid w:val="0022581C"/>
    <w:rsid w:val="00226867"/>
    <w:rsid w:val="002271C0"/>
    <w:rsid w:val="00227844"/>
    <w:rsid w:val="00231D4A"/>
    <w:rsid w:val="00232802"/>
    <w:rsid w:val="00233305"/>
    <w:rsid w:val="00233442"/>
    <w:rsid w:val="00233448"/>
    <w:rsid w:val="002343CB"/>
    <w:rsid w:val="00234972"/>
    <w:rsid w:val="00234FA6"/>
    <w:rsid w:val="002368AA"/>
    <w:rsid w:val="00236A76"/>
    <w:rsid w:val="00237362"/>
    <w:rsid w:val="00237E25"/>
    <w:rsid w:val="00241253"/>
    <w:rsid w:val="00242204"/>
    <w:rsid w:val="002436FA"/>
    <w:rsid w:val="0024609D"/>
    <w:rsid w:val="002503EC"/>
    <w:rsid w:val="00250B72"/>
    <w:rsid w:val="0025180C"/>
    <w:rsid w:val="00252DEF"/>
    <w:rsid w:val="00252E73"/>
    <w:rsid w:val="00255216"/>
    <w:rsid w:val="0025522B"/>
    <w:rsid w:val="00255CDD"/>
    <w:rsid w:val="00256663"/>
    <w:rsid w:val="00256666"/>
    <w:rsid w:val="002633C0"/>
    <w:rsid w:val="00265368"/>
    <w:rsid w:val="0027007A"/>
    <w:rsid w:val="0027046E"/>
    <w:rsid w:val="002713D7"/>
    <w:rsid w:val="00271FE4"/>
    <w:rsid w:val="00272884"/>
    <w:rsid w:val="00273C77"/>
    <w:rsid w:val="0027696F"/>
    <w:rsid w:val="00280812"/>
    <w:rsid w:val="00284DFF"/>
    <w:rsid w:val="00285A2A"/>
    <w:rsid w:val="00290F61"/>
    <w:rsid w:val="00291A1C"/>
    <w:rsid w:val="00292E44"/>
    <w:rsid w:val="00295191"/>
    <w:rsid w:val="00295C93"/>
    <w:rsid w:val="002970E6"/>
    <w:rsid w:val="002974B4"/>
    <w:rsid w:val="002A2450"/>
    <w:rsid w:val="002A2469"/>
    <w:rsid w:val="002A3292"/>
    <w:rsid w:val="002A4B58"/>
    <w:rsid w:val="002A684C"/>
    <w:rsid w:val="002A78EB"/>
    <w:rsid w:val="002B0D9E"/>
    <w:rsid w:val="002B1C26"/>
    <w:rsid w:val="002B2109"/>
    <w:rsid w:val="002B2C02"/>
    <w:rsid w:val="002B4917"/>
    <w:rsid w:val="002B5E8F"/>
    <w:rsid w:val="002B62FC"/>
    <w:rsid w:val="002B7F50"/>
    <w:rsid w:val="002C1979"/>
    <w:rsid w:val="002C5106"/>
    <w:rsid w:val="002D0AF0"/>
    <w:rsid w:val="002D0C13"/>
    <w:rsid w:val="002D118C"/>
    <w:rsid w:val="002D18F2"/>
    <w:rsid w:val="002D2031"/>
    <w:rsid w:val="002D226F"/>
    <w:rsid w:val="002D2403"/>
    <w:rsid w:val="002D2C82"/>
    <w:rsid w:val="002D3C0C"/>
    <w:rsid w:val="002D460B"/>
    <w:rsid w:val="002D477B"/>
    <w:rsid w:val="002D69C5"/>
    <w:rsid w:val="002D7A5C"/>
    <w:rsid w:val="002E02D9"/>
    <w:rsid w:val="002E0A57"/>
    <w:rsid w:val="002E23C9"/>
    <w:rsid w:val="002E2584"/>
    <w:rsid w:val="002E2F64"/>
    <w:rsid w:val="002E3F3A"/>
    <w:rsid w:val="002E5AFD"/>
    <w:rsid w:val="002E6148"/>
    <w:rsid w:val="002E7D29"/>
    <w:rsid w:val="002F0678"/>
    <w:rsid w:val="002F0885"/>
    <w:rsid w:val="002F0E44"/>
    <w:rsid w:val="002F0EE1"/>
    <w:rsid w:val="002F2F91"/>
    <w:rsid w:val="002F5E27"/>
    <w:rsid w:val="002F703F"/>
    <w:rsid w:val="00300AB4"/>
    <w:rsid w:val="00301974"/>
    <w:rsid w:val="00301FDF"/>
    <w:rsid w:val="00304C66"/>
    <w:rsid w:val="00304C85"/>
    <w:rsid w:val="00304CCF"/>
    <w:rsid w:val="00304D21"/>
    <w:rsid w:val="00307693"/>
    <w:rsid w:val="00307B5F"/>
    <w:rsid w:val="00312108"/>
    <w:rsid w:val="00312DBA"/>
    <w:rsid w:val="003159E6"/>
    <w:rsid w:val="00316866"/>
    <w:rsid w:val="003169E7"/>
    <w:rsid w:val="00317232"/>
    <w:rsid w:val="0031774F"/>
    <w:rsid w:val="003213C3"/>
    <w:rsid w:val="003235DA"/>
    <w:rsid w:val="003242CF"/>
    <w:rsid w:val="003247D6"/>
    <w:rsid w:val="00331BBD"/>
    <w:rsid w:val="00332B0D"/>
    <w:rsid w:val="003343FF"/>
    <w:rsid w:val="00335FCE"/>
    <w:rsid w:val="00337752"/>
    <w:rsid w:val="0034191F"/>
    <w:rsid w:val="00342CFD"/>
    <w:rsid w:val="00344B62"/>
    <w:rsid w:val="00345134"/>
    <w:rsid w:val="003455ED"/>
    <w:rsid w:val="003469AA"/>
    <w:rsid w:val="00347D9C"/>
    <w:rsid w:val="003510C4"/>
    <w:rsid w:val="00351D59"/>
    <w:rsid w:val="00352C4C"/>
    <w:rsid w:val="00353467"/>
    <w:rsid w:val="00353593"/>
    <w:rsid w:val="00354DE1"/>
    <w:rsid w:val="00357EB4"/>
    <w:rsid w:val="00360160"/>
    <w:rsid w:val="00360DCA"/>
    <w:rsid w:val="00361750"/>
    <w:rsid w:val="00361ECB"/>
    <w:rsid w:val="00362A7B"/>
    <w:rsid w:val="00363245"/>
    <w:rsid w:val="003663C1"/>
    <w:rsid w:val="003679E0"/>
    <w:rsid w:val="003708BE"/>
    <w:rsid w:val="00371498"/>
    <w:rsid w:val="0037374B"/>
    <w:rsid w:val="0037387D"/>
    <w:rsid w:val="00375E9B"/>
    <w:rsid w:val="00376AD9"/>
    <w:rsid w:val="00377A41"/>
    <w:rsid w:val="00377B28"/>
    <w:rsid w:val="0038033C"/>
    <w:rsid w:val="003809BA"/>
    <w:rsid w:val="00382056"/>
    <w:rsid w:val="00382E1F"/>
    <w:rsid w:val="00382ED2"/>
    <w:rsid w:val="003850E7"/>
    <w:rsid w:val="00385CF9"/>
    <w:rsid w:val="00386036"/>
    <w:rsid w:val="00390680"/>
    <w:rsid w:val="00390D49"/>
    <w:rsid w:val="00391044"/>
    <w:rsid w:val="003918D8"/>
    <w:rsid w:val="00392A43"/>
    <w:rsid w:val="00394D59"/>
    <w:rsid w:val="00395687"/>
    <w:rsid w:val="00396EB8"/>
    <w:rsid w:val="00397B16"/>
    <w:rsid w:val="00397F6A"/>
    <w:rsid w:val="003A0654"/>
    <w:rsid w:val="003A0E7E"/>
    <w:rsid w:val="003A2F04"/>
    <w:rsid w:val="003A309D"/>
    <w:rsid w:val="003A430D"/>
    <w:rsid w:val="003A4548"/>
    <w:rsid w:val="003A6547"/>
    <w:rsid w:val="003A7FCC"/>
    <w:rsid w:val="003B1779"/>
    <w:rsid w:val="003B1877"/>
    <w:rsid w:val="003B277C"/>
    <w:rsid w:val="003B2B14"/>
    <w:rsid w:val="003B33BB"/>
    <w:rsid w:val="003B3A79"/>
    <w:rsid w:val="003B56F6"/>
    <w:rsid w:val="003C51B9"/>
    <w:rsid w:val="003C5616"/>
    <w:rsid w:val="003C5B86"/>
    <w:rsid w:val="003C633B"/>
    <w:rsid w:val="003C6651"/>
    <w:rsid w:val="003C7B27"/>
    <w:rsid w:val="003D03BA"/>
    <w:rsid w:val="003D198C"/>
    <w:rsid w:val="003D1ABC"/>
    <w:rsid w:val="003D2EF2"/>
    <w:rsid w:val="003D3024"/>
    <w:rsid w:val="003D393F"/>
    <w:rsid w:val="003D3E34"/>
    <w:rsid w:val="003D5BDB"/>
    <w:rsid w:val="003D76C3"/>
    <w:rsid w:val="003E2AF2"/>
    <w:rsid w:val="003E3CB4"/>
    <w:rsid w:val="003E49FC"/>
    <w:rsid w:val="003E5AEE"/>
    <w:rsid w:val="003E71A2"/>
    <w:rsid w:val="003F1040"/>
    <w:rsid w:val="003F41E3"/>
    <w:rsid w:val="003F7329"/>
    <w:rsid w:val="003F77B0"/>
    <w:rsid w:val="003F7E41"/>
    <w:rsid w:val="00400BF1"/>
    <w:rsid w:val="004015C5"/>
    <w:rsid w:val="00402312"/>
    <w:rsid w:val="004039A8"/>
    <w:rsid w:val="004042A7"/>
    <w:rsid w:val="00410302"/>
    <w:rsid w:val="00410639"/>
    <w:rsid w:val="004106D6"/>
    <w:rsid w:val="004114C8"/>
    <w:rsid w:val="00411B4D"/>
    <w:rsid w:val="00411F41"/>
    <w:rsid w:val="00412D58"/>
    <w:rsid w:val="00412E02"/>
    <w:rsid w:val="00413ABE"/>
    <w:rsid w:val="00413BB3"/>
    <w:rsid w:val="0041443E"/>
    <w:rsid w:val="00415635"/>
    <w:rsid w:val="00420760"/>
    <w:rsid w:val="004207AE"/>
    <w:rsid w:val="00420877"/>
    <w:rsid w:val="00421925"/>
    <w:rsid w:val="00422159"/>
    <w:rsid w:val="0042253C"/>
    <w:rsid w:val="00423707"/>
    <w:rsid w:val="004237A3"/>
    <w:rsid w:val="00423844"/>
    <w:rsid w:val="0042548E"/>
    <w:rsid w:val="00425BE6"/>
    <w:rsid w:val="004263CB"/>
    <w:rsid w:val="004269B6"/>
    <w:rsid w:val="00426D1F"/>
    <w:rsid w:val="004270CB"/>
    <w:rsid w:val="00430BE5"/>
    <w:rsid w:val="00430E82"/>
    <w:rsid w:val="00431F9E"/>
    <w:rsid w:val="00432D08"/>
    <w:rsid w:val="00433E63"/>
    <w:rsid w:val="004355D5"/>
    <w:rsid w:val="00435B70"/>
    <w:rsid w:val="004373F5"/>
    <w:rsid w:val="004405E6"/>
    <w:rsid w:val="00440E9A"/>
    <w:rsid w:val="00442388"/>
    <w:rsid w:val="00442A7A"/>
    <w:rsid w:val="004435DD"/>
    <w:rsid w:val="0044408A"/>
    <w:rsid w:val="004457A8"/>
    <w:rsid w:val="00445E03"/>
    <w:rsid w:val="00450763"/>
    <w:rsid w:val="004509B5"/>
    <w:rsid w:val="00451430"/>
    <w:rsid w:val="00454150"/>
    <w:rsid w:val="004541C2"/>
    <w:rsid w:val="00455D4D"/>
    <w:rsid w:val="0045756A"/>
    <w:rsid w:val="00457C94"/>
    <w:rsid w:val="004616B9"/>
    <w:rsid w:val="00462816"/>
    <w:rsid w:val="00464F4B"/>
    <w:rsid w:val="00465256"/>
    <w:rsid w:val="00465589"/>
    <w:rsid w:val="0046574D"/>
    <w:rsid w:val="00465FB8"/>
    <w:rsid w:val="0046642F"/>
    <w:rsid w:val="00467AEC"/>
    <w:rsid w:val="004703B9"/>
    <w:rsid w:val="00473741"/>
    <w:rsid w:val="00474218"/>
    <w:rsid w:val="0047480D"/>
    <w:rsid w:val="0047497A"/>
    <w:rsid w:val="004755E7"/>
    <w:rsid w:val="004756C6"/>
    <w:rsid w:val="00476B05"/>
    <w:rsid w:val="0047779C"/>
    <w:rsid w:val="0048326B"/>
    <w:rsid w:val="004838FC"/>
    <w:rsid w:val="00485ED9"/>
    <w:rsid w:val="0048632D"/>
    <w:rsid w:val="0048636B"/>
    <w:rsid w:val="0048646A"/>
    <w:rsid w:val="00486E63"/>
    <w:rsid w:val="004871CE"/>
    <w:rsid w:val="004877E4"/>
    <w:rsid w:val="00490EF7"/>
    <w:rsid w:val="004910B2"/>
    <w:rsid w:val="004918E4"/>
    <w:rsid w:val="00492C1D"/>
    <w:rsid w:val="00493CB3"/>
    <w:rsid w:val="00493F84"/>
    <w:rsid w:val="004943C8"/>
    <w:rsid w:val="00494437"/>
    <w:rsid w:val="00494817"/>
    <w:rsid w:val="00494E26"/>
    <w:rsid w:val="00496380"/>
    <w:rsid w:val="004977D1"/>
    <w:rsid w:val="004A08D6"/>
    <w:rsid w:val="004A0D59"/>
    <w:rsid w:val="004A0E68"/>
    <w:rsid w:val="004A1CD3"/>
    <w:rsid w:val="004A5B9E"/>
    <w:rsid w:val="004A5DEE"/>
    <w:rsid w:val="004A6546"/>
    <w:rsid w:val="004A694A"/>
    <w:rsid w:val="004B0F15"/>
    <w:rsid w:val="004B2446"/>
    <w:rsid w:val="004B24CA"/>
    <w:rsid w:val="004B3424"/>
    <w:rsid w:val="004B34B1"/>
    <w:rsid w:val="004B3A42"/>
    <w:rsid w:val="004B5B6F"/>
    <w:rsid w:val="004B64AE"/>
    <w:rsid w:val="004B66F0"/>
    <w:rsid w:val="004B68C2"/>
    <w:rsid w:val="004B7469"/>
    <w:rsid w:val="004B773D"/>
    <w:rsid w:val="004C0F5A"/>
    <w:rsid w:val="004C370D"/>
    <w:rsid w:val="004C3C34"/>
    <w:rsid w:val="004D1107"/>
    <w:rsid w:val="004D5070"/>
    <w:rsid w:val="004D5BE1"/>
    <w:rsid w:val="004D6800"/>
    <w:rsid w:val="004D787B"/>
    <w:rsid w:val="004D7AF2"/>
    <w:rsid w:val="004D7E61"/>
    <w:rsid w:val="004E10D6"/>
    <w:rsid w:val="004E128A"/>
    <w:rsid w:val="004E12F3"/>
    <w:rsid w:val="004E1753"/>
    <w:rsid w:val="004E238A"/>
    <w:rsid w:val="004E49F7"/>
    <w:rsid w:val="004E4C0C"/>
    <w:rsid w:val="004E5621"/>
    <w:rsid w:val="004E68D0"/>
    <w:rsid w:val="004E70BC"/>
    <w:rsid w:val="004F05E0"/>
    <w:rsid w:val="004F17D2"/>
    <w:rsid w:val="004F32D7"/>
    <w:rsid w:val="004F3BFF"/>
    <w:rsid w:val="004F49BE"/>
    <w:rsid w:val="004F7B47"/>
    <w:rsid w:val="004F7C2F"/>
    <w:rsid w:val="00502A3C"/>
    <w:rsid w:val="0050306C"/>
    <w:rsid w:val="00503E5A"/>
    <w:rsid w:val="00506E84"/>
    <w:rsid w:val="00510479"/>
    <w:rsid w:val="005106D6"/>
    <w:rsid w:val="00510A4D"/>
    <w:rsid w:val="00511ACE"/>
    <w:rsid w:val="0051247A"/>
    <w:rsid w:val="00513A6F"/>
    <w:rsid w:val="00513B6C"/>
    <w:rsid w:val="005141B2"/>
    <w:rsid w:val="005144D7"/>
    <w:rsid w:val="00514648"/>
    <w:rsid w:val="0051498B"/>
    <w:rsid w:val="00514CFF"/>
    <w:rsid w:val="00514DDE"/>
    <w:rsid w:val="00515699"/>
    <w:rsid w:val="00517A97"/>
    <w:rsid w:val="00520C72"/>
    <w:rsid w:val="00523610"/>
    <w:rsid w:val="00523721"/>
    <w:rsid w:val="0052698A"/>
    <w:rsid w:val="00526A62"/>
    <w:rsid w:val="0052744F"/>
    <w:rsid w:val="00527F83"/>
    <w:rsid w:val="00530038"/>
    <w:rsid w:val="005303B5"/>
    <w:rsid w:val="005315A2"/>
    <w:rsid w:val="00533BC6"/>
    <w:rsid w:val="005342E4"/>
    <w:rsid w:val="00534B03"/>
    <w:rsid w:val="00536BB5"/>
    <w:rsid w:val="00537375"/>
    <w:rsid w:val="00540EE1"/>
    <w:rsid w:val="00541548"/>
    <w:rsid w:val="005426D9"/>
    <w:rsid w:val="0054294B"/>
    <w:rsid w:val="00543609"/>
    <w:rsid w:val="00543D98"/>
    <w:rsid w:val="00546726"/>
    <w:rsid w:val="00546AAC"/>
    <w:rsid w:val="00546F2B"/>
    <w:rsid w:val="00551858"/>
    <w:rsid w:val="00551D10"/>
    <w:rsid w:val="00551FE6"/>
    <w:rsid w:val="005525A8"/>
    <w:rsid w:val="00553EF5"/>
    <w:rsid w:val="005546D4"/>
    <w:rsid w:val="00554930"/>
    <w:rsid w:val="00555275"/>
    <w:rsid w:val="00555D24"/>
    <w:rsid w:val="0055676D"/>
    <w:rsid w:val="00556DCA"/>
    <w:rsid w:val="00561AC5"/>
    <w:rsid w:val="00563A7A"/>
    <w:rsid w:val="005645BC"/>
    <w:rsid w:val="0056558D"/>
    <w:rsid w:val="005657E2"/>
    <w:rsid w:val="00570C0B"/>
    <w:rsid w:val="00571C28"/>
    <w:rsid w:val="00572363"/>
    <w:rsid w:val="00572438"/>
    <w:rsid w:val="00572AE9"/>
    <w:rsid w:val="005733CE"/>
    <w:rsid w:val="00573A4E"/>
    <w:rsid w:val="00573A54"/>
    <w:rsid w:val="005753FD"/>
    <w:rsid w:val="00575804"/>
    <w:rsid w:val="005762CF"/>
    <w:rsid w:val="00577B5B"/>
    <w:rsid w:val="00581FDC"/>
    <w:rsid w:val="00582965"/>
    <w:rsid w:val="00582F9F"/>
    <w:rsid w:val="00584C8C"/>
    <w:rsid w:val="00585E7A"/>
    <w:rsid w:val="00591516"/>
    <w:rsid w:val="0059170F"/>
    <w:rsid w:val="0059364A"/>
    <w:rsid w:val="00593867"/>
    <w:rsid w:val="00594524"/>
    <w:rsid w:val="00596498"/>
    <w:rsid w:val="00597BA9"/>
    <w:rsid w:val="005A5E2F"/>
    <w:rsid w:val="005A6EF2"/>
    <w:rsid w:val="005B0F3E"/>
    <w:rsid w:val="005B28B6"/>
    <w:rsid w:val="005B461A"/>
    <w:rsid w:val="005B4B52"/>
    <w:rsid w:val="005B4E8D"/>
    <w:rsid w:val="005B54FB"/>
    <w:rsid w:val="005B5D59"/>
    <w:rsid w:val="005B63E7"/>
    <w:rsid w:val="005C1B09"/>
    <w:rsid w:val="005C21E3"/>
    <w:rsid w:val="005C2708"/>
    <w:rsid w:val="005C301D"/>
    <w:rsid w:val="005C3084"/>
    <w:rsid w:val="005C38FD"/>
    <w:rsid w:val="005C4A3A"/>
    <w:rsid w:val="005D1154"/>
    <w:rsid w:val="005D1F28"/>
    <w:rsid w:val="005D30FE"/>
    <w:rsid w:val="005D3B1F"/>
    <w:rsid w:val="005D3D73"/>
    <w:rsid w:val="005D4F9E"/>
    <w:rsid w:val="005E05D1"/>
    <w:rsid w:val="005E1F77"/>
    <w:rsid w:val="005E267E"/>
    <w:rsid w:val="005E3608"/>
    <w:rsid w:val="005E4577"/>
    <w:rsid w:val="005E4C08"/>
    <w:rsid w:val="005E4DE6"/>
    <w:rsid w:val="005E4E9F"/>
    <w:rsid w:val="005E5ECC"/>
    <w:rsid w:val="005F2F80"/>
    <w:rsid w:val="005F3795"/>
    <w:rsid w:val="005F5A04"/>
    <w:rsid w:val="005F75B9"/>
    <w:rsid w:val="0060058E"/>
    <w:rsid w:val="00601F2D"/>
    <w:rsid w:val="00602881"/>
    <w:rsid w:val="00607997"/>
    <w:rsid w:val="006107C4"/>
    <w:rsid w:val="00610BC3"/>
    <w:rsid w:val="00610FFE"/>
    <w:rsid w:val="0061289A"/>
    <w:rsid w:val="00613DF2"/>
    <w:rsid w:val="0061461F"/>
    <w:rsid w:val="0062161A"/>
    <w:rsid w:val="006217F5"/>
    <w:rsid w:val="006233B5"/>
    <w:rsid w:val="00623927"/>
    <w:rsid w:val="006239F5"/>
    <w:rsid w:val="00624018"/>
    <w:rsid w:val="00625604"/>
    <w:rsid w:val="006257F3"/>
    <w:rsid w:val="00626D75"/>
    <w:rsid w:val="00630D3A"/>
    <w:rsid w:val="0063100C"/>
    <w:rsid w:val="00631F86"/>
    <w:rsid w:val="006337DF"/>
    <w:rsid w:val="00633806"/>
    <w:rsid w:val="006350D7"/>
    <w:rsid w:val="006352EF"/>
    <w:rsid w:val="006400D5"/>
    <w:rsid w:val="00642F55"/>
    <w:rsid w:val="00644BCD"/>
    <w:rsid w:val="006453B1"/>
    <w:rsid w:val="0064672D"/>
    <w:rsid w:val="0065159B"/>
    <w:rsid w:val="00653AE7"/>
    <w:rsid w:val="00654524"/>
    <w:rsid w:val="00654B78"/>
    <w:rsid w:val="00655A46"/>
    <w:rsid w:val="0065621E"/>
    <w:rsid w:val="006577D6"/>
    <w:rsid w:val="00657BA4"/>
    <w:rsid w:val="00665699"/>
    <w:rsid w:val="006663C7"/>
    <w:rsid w:val="006676B9"/>
    <w:rsid w:val="00670662"/>
    <w:rsid w:val="006722AB"/>
    <w:rsid w:val="00672807"/>
    <w:rsid w:val="00674085"/>
    <w:rsid w:val="00674DFB"/>
    <w:rsid w:val="00675594"/>
    <w:rsid w:val="0067698B"/>
    <w:rsid w:val="00677346"/>
    <w:rsid w:val="00677E2D"/>
    <w:rsid w:val="00680255"/>
    <w:rsid w:val="006804AA"/>
    <w:rsid w:val="006808EB"/>
    <w:rsid w:val="00680B21"/>
    <w:rsid w:val="00681072"/>
    <w:rsid w:val="006826F8"/>
    <w:rsid w:val="00682A52"/>
    <w:rsid w:val="00682E7D"/>
    <w:rsid w:val="00683A1E"/>
    <w:rsid w:val="00683F9A"/>
    <w:rsid w:val="00684D9C"/>
    <w:rsid w:val="00685955"/>
    <w:rsid w:val="006862DA"/>
    <w:rsid w:val="00686A07"/>
    <w:rsid w:val="00686BE6"/>
    <w:rsid w:val="0069090C"/>
    <w:rsid w:val="00690ADB"/>
    <w:rsid w:val="00694FF2"/>
    <w:rsid w:val="0069644B"/>
    <w:rsid w:val="006A0540"/>
    <w:rsid w:val="006A14BF"/>
    <w:rsid w:val="006A16AA"/>
    <w:rsid w:val="006A7441"/>
    <w:rsid w:val="006B0045"/>
    <w:rsid w:val="006B293A"/>
    <w:rsid w:val="006B360B"/>
    <w:rsid w:val="006B3EE2"/>
    <w:rsid w:val="006B426C"/>
    <w:rsid w:val="006B4D66"/>
    <w:rsid w:val="006B6280"/>
    <w:rsid w:val="006B6761"/>
    <w:rsid w:val="006B795E"/>
    <w:rsid w:val="006C1E75"/>
    <w:rsid w:val="006C34EA"/>
    <w:rsid w:val="006C4011"/>
    <w:rsid w:val="006C57B9"/>
    <w:rsid w:val="006C6891"/>
    <w:rsid w:val="006C7D36"/>
    <w:rsid w:val="006D08F8"/>
    <w:rsid w:val="006D12B4"/>
    <w:rsid w:val="006D1873"/>
    <w:rsid w:val="006D2B01"/>
    <w:rsid w:val="006D3389"/>
    <w:rsid w:val="006D406A"/>
    <w:rsid w:val="006D4707"/>
    <w:rsid w:val="006D4C6B"/>
    <w:rsid w:val="006D55F9"/>
    <w:rsid w:val="006D584D"/>
    <w:rsid w:val="006D7534"/>
    <w:rsid w:val="006E44B6"/>
    <w:rsid w:val="006E60CB"/>
    <w:rsid w:val="006E6ADB"/>
    <w:rsid w:val="006E7C47"/>
    <w:rsid w:val="006F0B5D"/>
    <w:rsid w:val="006F4443"/>
    <w:rsid w:val="006F479B"/>
    <w:rsid w:val="006F661E"/>
    <w:rsid w:val="006F6A67"/>
    <w:rsid w:val="006F7093"/>
    <w:rsid w:val="00700192"/>
    <w:rsid w:val="0070190D"/>
    <w:rsid w:val="00703292"/>
    <w:rsid w:val="00705564"/>
    <w:rsid w:val="00705BE2"/>
    <w:rsid w:val="00705DE1"/>
    <w:rsid w:val="00707E1D"/>
    <w:rsid w:val="00710B60"/>
    <w:rsid w:val="007123A5"/>
    <w:rsid w:val="00713871"/>
    <w:rsid w:val="007156AA"/>
    <w:rsid w:val="007172FF"/>
    <w:rsid w:val="00721D9E"/>
    <w:rsid w:val="00722C07"/>
    <w:rsid w:val="00722D94"/>
    <w:rsid w:val="00722FB3"/>
    <w:rsid w:val="00723239"/>
    <w:rsid w:val="00724219"/>
    <w:rsid w:val="007249DF"/>
    <w:rsid w:val="00726D80"/>
    <w:rsid w:val="00726FF1"/>
    <w:rsid w:val="00727527"/>
    <w:rsid w:val="00727FB0"/>
    <w:rsid w:val="0073201C"/>
    <w:rsid w:val="00733762"/>
    <w:rsid w:val="00733CC5"/>
    <w:rsid w:val="00734C83"/>
    <w:rsid w:val="00735C2C"/>
    <w:rsid w:val="00735ED1"/>
    <w:rsid w:val="007363A1"/>
    <w:rsid w:val="00736AB3"/>
    <w:rsid w:val="00737291"/>
    <w:rsid w:val="00737F56"/>
    <w:rsid w:val="0074061B"/>
    <w:rsid w:val="00741C19"/>
    <w:rsid w:val="00741CA5"/>
    <w:rsid w:val="007437D5"/>
    <w:rsid w:val="007446B9"/>
    <w:rsid w:val="00744917"/>
    <w:rsid w:val="0074551A"/>
    <w:rsid w:val="00745907"/>
    <w:rsid w:val="00745F76"/>
    <w:rsid w:val="00746074"/>
    <w:rsid w:val="00746661"/>
    <w:rsid w:val="0075146F"/>
    <w:rsid w:val="007523BF"/>
    <w:rsid w:val="00753C41"/>
    <w:rsid w:val="0075519D"/>
    <w:rsid w:val="00755272"/>
    <w:rsid w:val="00756140"/>
    <w:rsid w:val="00757621"/>
    <w:rsid w:val="00757B82"/>
    <w:rsid w:val="00760D95"/>
    <w:rsid w:val="007621C6"/>
    <w:rsid w:val="00762384"/>
    <w:rsid w:val="00763414"/>
    <w:rsid w:val="00763BD2"/>
    <w:rsid w:val="00765B33"/>
    <w:rsid w:val="00766BCB"/>
    <w:rsid w:val="00767DBE"/>
    <w:rsid w:val="0077039C"/>
    <w:rsid w:val="00770E15"/>
    <w:rsid w:val="00771DB8"/>
    <w:rsid w:val="00771FAC"/>
    <w:rsid w:val="00772BAC"/>
    <w:rsid w:val="00773295"/>
    <w:rsid w:val="007733E7"/>
    <w:rsid w:val="00773843"/>
    <w:rsid w:val="00774E08"/>
    <w:rsid w:val="007823D7"/>
    <w:rsid w:val="00783B21"/>
    <w:rsid w:val="00785722"/>
    <w:rsid w:val="007862F4"/>
    <w:rsid w:val="0078764B"/>
    <w:rsid w:val="007909D9"/>
    <w:rsid w:val="00792F53"/>
    <w:rsid w:val="00795F59"/>
    <w:rsid w:val="007A0083"/>
    <w:rsid w:val="007A057C"/>
    <w:rsid w:val="007A0BE0"/>
    <w:rsid w:val="007A1A47"/>
    <w:rsid w:val="007A2AA7"/>
    <w:rsid w:val="007A33F9"/>
    <w:rsid w:val="007A64D5"/>
    <w:rsid w:val="007A6897"/>
    <w:rsid w:val="007A6EEA"/>
    <w:rsid w:val="007A739B"/>
    <w:rsid w:val="007A7491"/>
    <w:rsid w:val="007B098C"/>
    <w:rsid w:val="007B104F"/>
    <w:rsid w:val="007B19EF"/>
    <w:rsid w:val="007B1EF0"/>
    <w:rsid w:val="007B2602"/>
    <w:rsid w:val="007B266D"/>
    <w:rsid w:val="007B303D"/>
    <w:rsid w:val="007B3B50"/>
    <w:rsid w:val="007B4302"/>
    <w:rsid w:val="007B460F"/>
    <w:rsid w:val="007B681A"/>
    <w:rsid w:val="007B7AFD"/>
    <w:rsid w:val="007B7D03"/>
    <w:rsid w:val="007B7F3D"/>
    <w:rsid w:val="007C0E07"/>
    <w:rsid w:val="007C2CDE"/>
    <w:rsid w:val="007C3228"/>
    <w:rsid w:val="007C495B"/>
    <w:rsid w:val="007C49FA"/>
    <w:rsid w:val="007C52BC"/>
    <w:rsid w:val="007C65C7"/>
    <w:rsid w:val="007D04DB"/>
    <w:rsid w:val="007D5D57"/>
    <w:rsid w:val="007D68BE"/>
    <w:rsid w:val="007E01E2"/>
    <w:rsid w:val="007E05E7"/>
    <w:rsid w:val="007E0F01"/>
    <w:rsid w:val="007E3E9C"/>
    <w:rsid w:val="007E65B4"/>
    <w:rsid w:val="007F0CFF"/>
    <w:rsid w:val="007F1083"/>
    <w:rsid w:val="007F1E99"/>
    <w:rsid w:val="007F27D4"/>
    <w:rsid w:val="007F2BCF"/>
    <w:rsid w:val="007F311D"/>
    <w:rsid w:val="007F623D"/>
    <w:rsid w:val="007F75F8"/>
    <w:rsid w:val="008011F3"/>
    <w:rsid w:val="00801D49"/>
    <w:rsid w:val="00803B96"/>
    <w:rsid w:val="0080699B"/>
    <w:rsid w:val="00807693"/>
    <w:rsid w:val="00807A19"/>
    <w:rsid w:val="008123EC"/>
    <w:rsid w:val="0081307A"/>
    <w:rsid w:val="0081510F"/>
    <w:rsid w:val="00816111"/>
    <w:rsid w:val="0081650F"/>
    <w:rsid w:val="0081737F"/>
    <w:rsid w:val="00817A1F"/>
    <w:rsid w:val="008206DE"/>
    <w:rsid w:val="00821117"/>
    <w:rsid w:val="00822554"/>
    <w:rsid w:val="00822A9A"/>
    <w:rsid w:val="00824C53"/>
    <w:rsid w:val="00825A37"/>
    <w:rsid w:val="00826338"/>
    <w:rsid w:val="008279E3"/>
    <w:rsid w:val="0083167E"/>
    <w:rsid w:val="008359ED"/>
    <w:rsid w:val="008378C8"/>
    <w:rsid w:val="00837FF8"/>
    <w:rsid w:val="0084147A"/>
    <w:rsid w:val="008436E2"/>
    <w:rsid w:val="00843CF2"/>
    <w:rsid w:val="008443AA"/>
    <w:rsid w:val="00844546"/>
    <w:rsid w:val="008453F1"/>
    <w:rsid w:val="0084637B"/>
    <w:rsid w:val="00846420"/>
    <w:rsid w:val="00846E9A"/>
    <w:rsid w:val="008509DC"/>
    <w:rsid w:val="00850B05"/>
    <w:rsid w:val="00853425"/>
    <w:rsid w:val="00854188"/>
    <w:rsid w:val="00855957"/>
    <w:rsid w:val="00855C59"/>
    <w:rsid w:val="008607A4"/>
    <w:rsid w:val="008615FC"/>
    <w:rsid w:val="0086174B"/>
    <w:rsid w:val="0086182B"/>
    <w:rsid w:val="00863CC5"/>
    <w:rsid w:val="0086448A"/>
    <w:rsid w:val="00864877"/>
    <w:rsid w:val="00864E65"/>
    <w:rsid w:val="00870602"/>
    <w:rsid w:val="008724FF"/>
    <w:rsid w:val="0087407B"/>
    <w:rsid w:val="00874EDD"/>
    <w:rsid w:val="00876FA6"/>
    <w:rsid w:val="0087717C"/>
    <w:rsid w:val="00882253"/>
    <w:rsid w:val="00882B5A"/>
    <w:rsid w:val="00882EBD"/>
    <w:rsid w:val="00883A29"/>
    <w:rsid w:val="00884AFE"/>
    <w:rsid w:val="00884C7F"/>
    <w:rsid w:val="0088586D"/>
    <w:rsid w:val="00887168"/>
    <w:rsid w:val="008903CA"/>
    <w:rsid w:val="00890A97"/>
    <w:rsid w:val="00892DB3"/>
    <w:rsid w:val="0089316E"/>
    <w:rsid w:val="008959A0"/>
    <w:rsid w:val="008963C7"/>
    <w:rsid w:val="008975D5"/>
    <w:rsid w:val="008A0335"/>
    <w:rsid w:val="008A0F1C"/>
    <w:rsid w:val="008A36AC"/>
    <w:rsid w:val="008A3DDB"/>
    <w:rsid w:val="008A4202"/>
    <w:rsid w:val="008A6AE3"/>
    <w:rsid w:val="008B0321"/>
    <w:rsid w:val="008B0579"/>
    <w:rsid w:val="008B1977"/>
    <w:rsid w:val="008B2621"/>
    <w:rsid w:val="008B2BDD"/>
    <w:rsid w:val="008B3FD1"/>
    <w:rsid w:val="008B494E"/>
    <w:rsid w:val="008B4E3E"/>
    <w:rsid w:val="008B506A"/>
    <w:rsid w:val="008B56B9"/>
    <w:rsid w:val="008C062D"/>
    <w:rsid w:val="008C186C"/>
    <w:rsid w:val="008C2567"/>
    <w:rsid w:val="008C2F79"/>
    <w:rsid w:val="008C3999"/>
    <w:rsid w:val="008C3A92"/>
    <w:rsid w:val="008C3D41"/>
    <w:rsid w:val="008C3F21"/>
    <w:rsid w:val="008C63F6"/>
    <w:rsid w:val="008D0080"/>
    <w:rsid w:val="008D1CFB"/>
    <w:rsid w:val="008D28C1"/>
    <w:rsid w:val="008D2B21"/>
    <w:rsid w:val="008D2C78"/>
    <w:rsid w:val="008D6A49"/>
    <w:rsid w:val="008D6E3F"/>
    <w:rsid w:val="008E0089"/>
    <w:rsid w:val="008E7D5E"/>
    <w:rsid w:val="008E7F90"/>
    <w:rsid w:val="008F2D86"/>
    <w:rsid w:val="008F3E69"/>
    <w:rsid w:val="008F4E90"/>
    <w:rsid w:val="008F51F1"/>
    <w:rsid w:val="008F65B2"/>
    <w:rsid w:val="008F6B7F"/>
    <w:rsid w:val="008F747C"/>
    <w:rsid w:val="009039A7"/>
    <w:rsid w:val="00904684"/>
    <w:rsid w:val="0090478E"/>
    <w:rsid w:val="009071BD"/>
    <w:rsid w:val="00910FD1"/>
    <w:rsid w:val="009126E9"/>
    <w:rsid w:val="00915121"/>
    <w:rsid w:val="00915D57"/>
    <w:rsid w:val="00917C4C"/>
    <w:rsid w:val="00917E82"/>
    <w:rsid w:val="009226AB"/>
    <w:rsid w:val="00922A94"/>
    <w:rsid w:val="00923097"/>
    <w:rsid w:val="00924690"/>
    <w:rsid w:val="009249CF"/>
    <w:rsid w:val="00924DF4"/>
    <w:rsid w:val="00926406"/>
    <w:rsid w:val="00930C7C"/>
    <w:rsid w:val="0093142C"/>
    <w:rsid w:val="009324F0"/>
    <w:rsid w:val="0093260D"/>
    <w:rsid w:val="0093303E"/>
    <w:rsid w:val="00934997"/>
    <w:rsid w:val="00936A12"/>
    <w:rsid w:val="009404C0"/>
    <w:rsid w:val="00941C87"/>
    <w:rsid w:val="00941C91"/>
    <w:rsid w:val="00945B99"/>
    <w:rsid w:val="00946AA6"/>
    <w:rsid w:val="00946AC0"/>
    <w:rsid w:val="0095290D"/>
    <w:rsid w:val="00952FF8"/>
    <w:rsid w:val="00953CC3"/>
    <w:rsid w:val="00956465"/>
    <w:rsid w:val="0095693C"/>
    <w:rsid w:val="00956FF9"/>
    <w:rsid w:val="00957C66"/>
    <w:rsid w:val="0096015C"/>
    <w:rsid w:val="009608AF"/>
    <w:rsid w:val="009648F2"/>
    <w:rsid w:val="009678AF"/>
    <w:rsid w:val="00967F16"/>
    <w:rsid w:val="00972EE5"/>
    <w:rsid w:val="009734F6"/>
    <w:rsid w:val="0097381B"/>
    <w:rsid w:val="00974BDF"/>
    <w:rsid w:val="00975785"/>
    <w:rsid w:val="009761C8"/>
    <w:rsid w:val="00977A36"/>
    <w:rsid w:val="009801C8"/>
    <w:rsid w:val="00983373"/>
    <w:rsid w:val="009838B5"/>
    <w:rsid w:val="00984615"/>
    <w:rsid w:val="00984B7E"/>
    <w:rsid w:val="0098727E"/>
    <w:rsid w:val="00992ABA"/>
    <w:rsid w:val="009932FF"/>
    <w:rsid w:val="009936A6"/>
    <w:rsid w:val="00993F44"/>
    <w:rsid w:val="00995A00"/>
    <w:rsid w:val="00996414"/>
    <w:rsid w:val="009964AB"/>
    <w:rsid w:val="00996616"/>
    <w:rsid w:val="009A05ED"/>
    <w:rsid w:val="009A1A56"/>
    <w:rsid w:val="009A2B36"/>
    <w:rsid w:val="009A3954"/>
    <w:rsid w:val="009A40EF"/>
    <w:rsid w:val="009A4B2C"/>
    <w:rsid w:val="009A5BFE"/>
    <w:rsid w:val="009A654E"/>
    <w:rsid w:val="009A7C42"/>
    <w:rsid w:val="009B0905"/>
    <w:rsid w:val="009B0993"/>
    <w:rsid w:val="009B0F7E"/>
    <w:rsid w:val="009B51E0"/>
    <w:rsid w:val="009B54B8"/>
    <w:rsid w:val="009B7353"/>
    <w:rsid w:val="009B7500"/>
    <w:rsid w:val="009B76F6"/>
    <w:rsid w:val="009C0E19"/>
    <w:rsid w:val="009C139F"/>
    <w:rsid w:val="009C31AE"/>
    <w:rsid w:val="009C362B"/>
    <w:rsid w:val="009C41B3"/>
    <w:rsid w:val="009C7C54"/>
    <w:rsid w:val="009D105C"/>
    <w:rsid w:val="009D1B03"/>
    <w:rsid w:val="009D34B8"/>
    <w:rsid w:val="009E1772"/>
    <w:rsid w:val="009E1C67"/>
    <w:rsid w:val="009E45AD"/>
    <w:rsid w:val="009E4892"/>
    <w:rsid w:val="009E525E"/>
    <w:rsid w:val="009E749A"/>
    <w:rsid w:val="009E7A44"/>
    <w:rsid w:val="009E7B98"/>
    <w:rsid w:val="009F3577"/>
    <w:rsid w:val="009F37EE"/>
    <w:rsid w:val="009F4487"/>
    <w:rsid w:val="009F4CDC"/>
    <w:rsid w:val="009F52B0"/>
    <w:rsid w:val="009F65F5"/>
    <w:rsid w:val="009F6E22"/>
    <w:rsid w:val="00A000A1"/>
    <w:rsid w:val="00A005D5"/>
    <w:rsid w:val="00A02B8B"/>
    <w:rsid w:val="00A06983"/>
    <w:rsid w:val="00A0750A"/>
    <w:rsid w:val="00A07B59"/>
    <w:rsid w:val="00A07F62"/>
    <w:rsid w:val="00A1259B"/>
    <w:rsid w:val="00A13E8C"/>
    <w:rsid w:val="00A14156"/>
    <w:rsid w:val="00A148FC"/>
    <w:rsid w:val="00A14D2C"/>
    <w:rsid w:val="00A21F8D"/>
    <w:rsid w:val="00A22399"/>
    <w:rsid w:val="00A23838"/>
    <w:rsid w:val="00A272E8"/>
    <w:rsid w:val="00A27DD6"/>
    <w:rsid w:val="00A31928"/>
    <w:rsid w:val="00A3291D"/>
    <w:rsid w:val="00A32A4C"/>
    <w:rsid w:val="00A33C64"/>
    <w:rsid w:val="00A3751D"/>
    <w:rsid w:val="00A3761D"/>
    <w:rsid w:val="00A423D2"/>
    <w:rsid w:val="00A4249C"/>
    <w:rsid w:val="00A42CA6"/>
    <w:rsid w:val="00A43554"/>
    <w:rsid w:val="00A436FB"/>
    <w:rsid w:val="00A43701"/>
    <w:rsid w:val="00A44BE0"/>
    <w:rsid w:val="00A46ED8"/>
    <w:rsid w:val="00A47401"/>
    <w:rsid w:val="00A51B0F"/>
    <w:rsid w:val="00A5211C"/>
    <w:rsid w:val="00A53051"/>
    <w:rsid w:val="00A540FC"/>
    <w:rsid w:val="00A5414E"/>
    <w:rsid w:val="00A553E7"/>
    <w:rsid w:val="00A55BBB"/>
    <w:rsid w:val="00A560CE"/>
    <w:rsid w:val="00A5616E"/>
    <w:rsid w:val="00A60F96"/>
    <w:rsid w:val="00A6215E"/>
    <w:rsid w:val="00A628C9"/>
    <w:rsid w:val="00A65F92"/>
    <w:rsid w:val="00A66889"/>
    <w:rsid w:val="00A67809"/>
    <w:rsid w:val="00A67812"/>
    <w:rsid w:val="00A67DA9"/>
    <w:rsid w:val="00A729B5"/>
    <w:rsid w:val="00A741BB"/>
    <w:rsid w:val="00A763FB"/>
    <w:rsid w:val="00A8098E"/>
    <w:rsid w:val="00A81A43"/>
    <w:rsid w:val="00A825B0"/>
    <w:rsid w:val="00A82970"/>
    <w:rsid w:val="00A84243"/>
    <w:rsid w:val="00A8431B"/>
    <w:rsid w:val="00A8591A"/>
    <w:rsid w:val="00A86186"/>
    <w:rsid w:val="00A873DF"/>
    <w:rsid w:val="00A8759E"/>
    <w:rsid w:val="00A919B3"/>
    <w:rsid w:val="00A919D3"/>
    <w:rsid w:val="00A91E69"/>
    <w:rsid w:val="00A91ED1"/>
    <w:rsid w:val="00A925A2"/>
    <w:rsid w:val="00A9274E"/>
    <w:rsid w:val="00A92ACC"/>
    <w:rsid w:val="00A92F63"/>
    <w:rsid w:val="00A94484"/>
    <w:rsid w:val="00A94F7A"/>
    <w:rsid w:val="00A95A59"/>
    <w:rsid w:val="00AA00F8"/>
    <w:rsid w:val="00AA07B3"/>
    <w:rsid w:val="00AA11D9"/>
    <w:rsid w:val="00AA196A"/>
    <w:rsid w:val="00AA1A5D"/>
    <w:rsid w:val="00AA2A7A"/>
    <w:rsid w:val="00AA4271"/>
    <w:rsid w:val="00AA554D"/>
    <w:rsid w:val="00AA6297"/>
    <w:rsid w:val="00AB1CDE"/>
    <w:rsid w:val="00AB1D9B"/>
    <w:rsid w:val="00AB1E8D"/>
    <w:rsid w:val="00AB7C57"/>
    <w:rsid w:val="00AC04AA"/>
    <w:rsid w:val="00AC0658"/>
    <w:rsid w:val="00AC070A"/>
    <w:rsid w:val="00AC07B0"/>
    <w:rsid w:val="00AC2575"/>
    <w:rsid w:val="00AC3533"/>
    <w:rsid w:val="00AC3750"/>
    <w:rsid w:val="00AC5D5B"/>
    <w:rsid w:val="00AC74E0"/>
    <w:rsid w:val="00AD29FB"/>
    <w:rsid w:val="00AD33B2"/>
    <w:rsid w:val="00AD3A1B"/>
    <w:rsid w:val="00AD53CF"/>
    <w:rsid w:val="00AD54D8"/>
    <w:rsid w:val="00AD65E0"/>
    <w:rsid w:val="00AD6894"/>
    <w:rsid w:val="00AD6A2A"/>
    <w:rsid w:val="00AE19F0"/>
    <w:rsid w:val="00AE220E"/>
    <w:rsid w:val="00AE76E0"/>
    <w:rsid w:val="00AF1AF7"/>
    <w:rsid w:val="00AF250F"/>
    <w:rsid w:val="00AF51F8"/>
    <w:rsid w:val="00AF521A"/>
    <w:rsid w:val="00B02D69"/>
    <w:rsid w:val="00B048F6"/>
    <w:rsid w:val="00B052D7"/>
    <w:rsid w:val="00B05D40"/>
    <w:rsid w:val="00B05FF0"/>
    <w:rsid w:val="00B064DF"/>
    <w:rsid w:val="00B10702"/>
    <w:rsid w:val="00B11752"/>
    <w:rsid w:val="00B1213A"/>
    <w:rsid w:val="00B13379"/>
    <w:rsid w:val="00B138CF"/>
    <w:rsid w:val="00B144A0"/>
    <w:rsid w:val="00B14634"/>
    <w:rsid w:val="00B14C22"/>
    <w:rsid w:val="00B15085"/>
    <w:rsid w:val="00B15E5D"/>
    <w:rsid w:val="00B20DA0"/>
    <w:rsid w:val="00B241E6"/>
    <w:rsid w:val="00B245FF"/>
    <w:rsid w:val="00B2770E"/>
    <w:rsid w:val="00B2795E"/>
    <w:rsid w:val="00B27E2E"/>
    <w:rsid w:val="00B305AE"/>
    <w:rsid w:val="00B330E4"/>
    <w:rsid w:val="00B34510"/>
    <w:rsid w:val="00B35B95"/>
    <w:rsid w:val="00B35E29"/>
    <w:rsid w:val="00B40B98"/>
    <w:rsid w:val="00B440EF"/>
    <w:rsid w:val="00B446E7"/>
    <w:rsid w:val="00B46200"/>
    <w:rsid w:val="00B47965"/>
    <w:rsid w:val="00B47B4E"/>
    <w:rsid w:val="00B47B6B"/>
    <w:rsid w:val="00B500FB"/>
    <w:rsid w:val="00B51D47"/>
    <w:rsid w:val="00B520C4"/>
    <w:rsid w:val="00B534D4"/>
    <w:rsid w:val="00B53D1B"/>
    <w:rsid w:val="00B54301"/>
    <w:rsid w:val="00B545E4"/>
    <w:rsid w:val="00B55182"/>
    <w:rsid w:val="00B561A8"/>
    <w:rsid w:val="00B565BC"/>
    <w:rsid w:val="00B56851"/>
    <w:rsid w:val="00B577CA"/>
    <w:rsid w:val="00B57AB8"/>
    <w:rsid w:val="00B6004B"/>
    <w:rsid w:val="00B61DC2"/>
    <w:rsid w:val="00B625B9"/>
    <w:rsid w:val="00B63526"/>
    <w:rsid w:val="00B63BD4"/>
    <w:rsid w:val="00B64F68"/>
    <w:rsid w:val="00B66466"/>
    <w:rsid w:val="00B6677D"/>
    <w:rsid w:val="00B67913"/>
    <w:rsid w:val="00B67C18"/>
    <w:rsid w:val="00B716F0"/>
    <w:rsid w:val="00B734D8"/>
    <w:rsid w:val="00B73BD7"/>
    <w:rsid w:val="00B76481"/>
    <w:rsid w:val="00B76D0F"/>
    <w:rsid w:val="00B77D17"/>
    <w:rsid w:val="00B800EE"/>
    <w:rsid w:val="00B83A3B"/>
    <w:rsid w:val="00B845A4"/>
    <w:rsid w:val="00B85D17"/>
    <w:rsid w:val="00B87B5B"/>
    <w:rsid w:val="00B901D0"/>
    <w:rsid w:val="00B90A46"/>
    <w:rsid w:val="00B91A1B"/>
    <w:rsid w:val="00B9273C"/>
    <w:rsid w:val="00B950BD"/>
    <w:rsid w:val="00B950FF"/>
    <w:rsid w:val="00B959E8"/>
    <w:rsid w:val="00B96141"/>
    <w:rsid w:val="00B9644A"/>
    <w:rsid w:val="00B96A6A"/>
    <w:rsid w:val="00B97969"/>
    <w:rsid w:val="00B97EE8"/>
    <w:rsid w:val="00BA097A"/>
    <w:rsid w:val="00BA24DD"/>
    <w:rsid w:val="00BA2C24"/>
    <w:rsid w:val="00BA474A"/>
    <w:rsid w:val="00BA5D71"/>
    <w:rsid w:val="00BA721C"/>
    <w:rsid w:val="00BA7549"/>
    <w:rsid w:val="00BB1035"/>
    <w:rsid w:val="00BB19DF"/>
    <w:rsid w:val="00BB3526"/>
    <w:rsid w:val="00BB478D"/>
    <w:rsid w:val="00BB4E41"/>
    <w:rsid w:val="00BB4F90"/>
    <w:rsid w:val="00BB5350"/>
    <w:rsid w:val="00BB589D"/>
    <w:rsid w:val="00BC0A5D"/>
    <w:rsid w:val="00BC17E0"/>
    <w:rsid w:val="00BC1D74"/>
    <w:rsid w:val="00BC23A7"/>
    <w:rsid w:val="00BC2AFF"/>
    <w:rsid w:val="00BC3AD8"/>
    <w:rsid w:val="00BC42DA"/>
    <w:rsid w:val="00BC44DF"/>
    <w:rsid w:val="00BC6A97"/>
    <w:rsid w:val="00BD031C"/>
    <w:rsid w:val="00BD15C0"/>
    <w:rsid w:val="00BD217D"/>
    <w:rsid w:val="00BD310E"/>
    <w:rsid w:val="00BD438C"/>
    <w:rsid w:val="00BD4E00"/>
    <w:rsid w:val="00BD5CB3"/>
    <w:rsid w:val="00BD5E24"/>
    <w:rsid w:val="00BD6F52"/>
    <w:rsid w:val="00BD6FCD"/>
    <w:rsid w:val="00BE014C"/>
    <w:rsid w:val="00BE44E7"/>
    <w:rsid w:val="00BE53DA"/>
    <w:rsid w:val="00BE6A1C"/>
    <w:rsid w:val="00BE749B"/>
    <w:rsid w:val="00BF0836"/>
    <w:rsid w:val="00BF09AF"/>
    <w:rsid w:val="00BF0EAF"/>
    <w:rsid w:val="00BF2427"/>
    <w:rsid w:val="00BF544A"/>
    <w:rsid w:val="00BF575B"/>
    <w:rsid w:val="00C00BA6"/>
    <w:rsid w:val="00C00EF2"/>
    <w:rsid w:val="00C014B6"/>
    <w:rsid w:val="00C01B79"/>
    <w:rsid w:val="00C0230C"/>
    <w:rsid w:val="00C02A95"/>
    <w:rsid w:val="00C0468B"/>
    <w:rsid w:val="00C055CC"/>
    <w:rsid w:val="00C0799A"/>
    <w:rsid w:val="00C103BE"/>
    <w:rsid w:val="00C11149"/>
    <w:rsid w:val="00C11633"/>
    <w:rsid w:val="00C11D01"/>
    <w:rsid w:val="00C12B28"/>
    <w:rsid w:val="00C13B0A"/>
    <w:rsid w:val="00C13BE5"/>
    <w:rsid w:val="00C13CED"/>
    <w:rsid w:val="00C15A14"/>
    <w:rsid w:val="00C16AB0"/>
    <w:rsid w:val="00C17BBB"/>
    <w:rsid w:val="00C20779"/>
    <w:rsid w:val="00C21689"/>
    <w:rsid w:val="00C236AB"/>
    <w:rsid w:val="00C23B16"/>
    <w:rsid w:val="00C2403C"/>
    <w:rsid w:val="00C243F6"/>
    <w:rsid w:val="00C25861"/>
    <w:rsid w:val="00C32BE9"/>
    <w:rsid w:val="00C32F69"/>
    <w:rsid w:val="00C349EF"/>
    <w:rsid w:val="00C34DAB"/>
    <w:rsid w:val="00C35412"/>
    <w:rsid w:val="00C35C9A"/>
    <w:rsid w:val="00C379C6"/>
    <w:rsid w:val="00C37A3B"/>
    <w:rsid w:val="00C40604"/>
    <w:rsid w:val="00C407AB"/>
    <w:rsid w:val="00C41235"/>
    <w:rsid w:val="00C42194"/>
    <w:rsid w:val="00C43594"/>
    <w:rsid w:val="00C448E4"/>
    <w:rsid w:val="00C4544F"/>
    <w:rsid w:val="00C45514"/>
    <w:rsid w:val="00C51CD7"/>
    <w:rsid w:val="00C51E34"/>
    <w:rsid w:val="00C52A67"/>
    <w:rsid w:val="00C53872"/>
    <w:rsid w:val="00C53A55"/>
    <w:rsid w:val="00C543A6"/>
    <w:rsid w:val="00C54CA7"/>
    <w:rsid w:val="00C56109"/>
    <w:rsid w:val="00C56257"/>
    <w:rsid w:val="00C56F92"/>
    <w:rsid w:val="00C6057F"/>
    <w:rsid w:val="00C6268D"/>
    <w:rsid w:val="00C626BA"/>
    <w:rsid w:val="00C63B63"/>
    <w:rsid w:val="00C63BFE"/>
    <w:rsid w:val="00C64A39"/>
    <w:rsid w:val="00C65C06"/>
    <w:rsid w:val="00C65E87"/>
    <w:rsid w:val="00C66CCD"/>
    <w:rsid w:val="00C67299"/>
    <w:rsid w:val="00C700CE"/>
    <w:rsid w:val="00C707B5"/>
    <w:rsid w:val="00C70BCF"/>
    <w:rsid w:val="00C70FC5"/>
    <w:rsid w:val="00C72E90"/>
    <w:rsid w:val="00C7326B"/>
    <w:rsid w:val="00C7368C"/>
    <w:rsid w:val="00C76160"/>
    <w:rsid w:val="00C77E66"/>
    <w:rsid w:val="00C81B07"/>
    <w:rsid w:val="00C82822"/>
    <w:rsid w:val="00C85060"/>
    <w:rsid w:val="00C853AF"/>
    <w:rsid w:val="00C853FD"/>
    <w:rsid w:val="00C85C11"/>
    <w:rsid w:val="00C87390"/>
    <w:rsid w:val="00C87F22"/>
    <w:rsid w:val="00C90A22"/>
    <w:rsid w:val="00C90D50"/>
    <w:rsid w:val="00C91AA9"/>
    <w:rsid w:val="00C92210"/>
    <w:rsid w:val="00C926AA"/>
    <w:rsid w:val="00C92CC8"/>
    <w:rsid w:val="00C93661"/>
    <w:rsid w:val="00C93968"/>
    <w:rsid w:val="00C94228"/>
    <w:rsid w:val="00CA0DDD"/>
    <w:rsid w:val="00CA237D"/>
    <w:rsid w:val="00CA4BB9"/>
    <w:rsid w:val="00CA501B"/>
    <w:rsid w:val="00CB097E"/>
    <w:rsid w:val="00CB107F"/>
    <w:rsid w:val="00CB154B"/>
    <w:rsid w:val="00CB50BE"/>
    <w:rsid w:val="00CB7041"/>
    <w:rsid w:val="00CC05BB"/>
    <w:rsid w:val="00CC0C58"/>
    <w:rsid w:val="00CC18C8"/>
    <w:rsid w:val="00CC2833"/>
    <w:rsid w:val="00CC4D46"/>
    <w:rsid w:val="00CC679E"/>
    <w:rsid w:val="00CD12CC"/>
    <w:rsid w:val="00CD2DD0"/>
    <w:rsid w:val="00CD4ED0"/>
    <w:rsid w:val="00CD5D8D"/>
    <w:rsid w:val="00CD6673"/>
    <w:rsid w:val="00CD6F6F"/>
    <w:rsid w:val="00CE0DDB"/>
    <w:rsid w:val="00CE1AAC"/>
    <w:rsid w:val="00CE26F8"/>
    <w:rsid w:val="00CE2AB4"/>
    <w:rsid w:val="00CE38DD"/>
    <w:rsid w:val="00CE3B19"/>
    <w:rsid w:val="00CE40CC"/>
    <w:rsid w:val="00CE40D6"/>
    <w:rsid w:val="00CE48CC"/>
    <w:rsid w:val="00CE5E5F"/>
    <w:rsid w:val="00CF02BF"/>
    <w:rsid w:val="00CF111E"/>
    <w:rsid w:val="00CF7213"/>
    <w:rsid w:val="00D00938"/>
    <w:rsid w:val="00D01204"/>
    <w:rsid w:val="00D02DD9"/>
    <w:rsid w:val="00D041AA"/>
    <w:rsid w:val="00D062DA"/>
    <w:rsid w:val="00D070EB"/>
    <w:rsid w:val="00D10A9B"/>
    <w:rsid w:val="00D13294"/>
    <w:rsid w:val="00D132E4"/>
    <w:rsid w:val="00D13954"/>
    <w:rsid w:val="00D14C98"/>
    <w:rsid w:val="00D15AA1"/>
    <w:rsid w:val="00D16E62"/>
    <w:rsid w:val="00D21979"/>
    <w:rsid w:val="00D22C85"/>
    <w:rsid w:val="00D23545"/>
    <w:rsid w:val="00D24745"/>
    <w:rsid w:val="00D25C91"/>
    <w:rsid w:val="00D2749A"/>
    <w:rsid w:val="00D302CE"/>
    <w:rsid w:val="00D31E49"/>
    <w:rsid w:val="00D321B1"/>
    <w:rsid w:val="00D33856"/>
    <w:rsid w:val="00D33B3E"/>
    <w:rsid w:val="00D348CC"/>
    <w:rsid w:val="00D366A0"/>
    <w:rsid w:val="00D371CB"/>
    <w:rsid w:val="00D40035"/>
    <w:rsid w:val="00D40A0F"/>
    <w:rsid w:val="00D414CD"/>
    <w:rsid w:val="00D43009"/>
    <w:rsid w:val="00D430E6"/>
    <w:rsid w:val="00D46107"/>
    <w:rsid w:val="00D46A6D"/>
    <w:rsid w:val="00D475F5"/>
    <w:rsid w:val="00D51E5D"/>
    <w:rsid w:val="00D530D8"/>
    <w:rsid w:val="00D533BF"/>
    <w:rsid w:val="00D5346B"/>
    <w:rsid w:val="00D54124"/>
    <w:rsid w:val="00D543E6"/>
    <w:rsid w:val="00D54CF1"/>
    <w:rsid w:val="00D54E30"/>
    <w:rsid w:val="00D5545E"/>
    <w:rsid w:val="00D601A4"/>
    <w:rsid w:val="00D6023D"/>
    <w:rsid w:val="00D61379"/>
    <w:rsid w:val="00D63C39"/>
    <w:rsid w:val="00D648A0"/>
    <w:rsid w:val="00D64B34"/>
    <w:rsid w:val="00D650F2"/>
    <w:rsid w:val="00D66317"/>
    <w:rsid w:val="00D6702C"/>
    <w:rsid w:val="00D6736B"/>
    <w:rsid w:val="00D673EB"/>
    <w:rsid w:val="00D709A3"/>
    <w:rsid w:val="00D71ED3"/>
    <w:rsid w:val="00D721DA"/>
    <w:rsid w:val="00D745F2"/>
    <w:rsid w:val="00D74699"/>
    <w:rsid w:val="00D755E2"/>
    <w:rsid w:val="00D77E78"/>
    <w:rsid w:val="00D81640"/>
    <w:rsid w:val="00D8193F"/>
    <w:rsid w:val="00D827E0"/>
    <w:rsid w:val="00D83254"/>
    <w:rsid w:val="00D8513D"/>
    <w:rsid w:val="00D85352"/>
    <w:rsid w:val="00D8548F"/>
    <w:rsid w:val="00D865FA"/>
    <w:rsid w:val="00D86C0F"/>
    <w:rsid w:val="00D9036E"/>
    <w:rsid w:val="00D90DD2"/>
    <w:rsid w:val="00D92F2F"/>
    <w:rsid w:val="00D97483"/>
    <w:rsid w:val="00DA0134"/>
    <w:rsid w:val="00DA1225"/>
    <w:rsid w:val="00DA1F27"/>
    <w:rsid w:val="00DA224C"/>
    <w:rsid w:val="00DA22D7"/>
    <w:rsid w:val="00DA5429"/>
    <w:rsid w:val="00DA5E7A"/>
    <w:rsid w:val="00DA6721"/>
    <w:rsid w:val="00DA7ECD"/>
    <w:rsid w:val="00DB11AA"/>
    <w:rsid w:val="00DB1619"/>
    <w:rsid w:val="00DB175D"/>
    <w:rsid w:val="00DB1781"/>
    <w:rsid w:val="00DB640A"/>
    <w:rsid w:val="00DB684E"/>
    <w:rsid w:val="00DC2E3A"/>
    <w:rsid w:val="00DC45F6"/>
    <w:rsid w:val="00DC63EA"/>
    <w:rsid w:val="00DC69D7"/>
    <w:rsid w:val="00DC6AFE"/>
    <w:rsid w:val="00DD1C9D"/>
    <w:rsid w:val="00DD20BC"/>
    <w:rsid w:val="00DD3E6C"/>
    <w:rsid w:val="00DD4C43"/>
    <w:rsid w:val="00DD4FDE"/>
    <w:rsid w:val="00DD501F"/>
    <w:rsid w:val="00DD5BA2"/>
    <w:rsid w:val="00DD62E9"/>
    <w:rsid w:val="00DD7CB6"/>
    <w:rsid w:val="00DE0BB1"/>
    <w:rsid w:val="00DE1B04"/>
    <w:rsid w:val="00DE2068"/>
    <w:rsid w:val="00DE362E"/>
    <w:rsid w:val="00DE5266"/>
    <w:rsid w:val="00DE5333"/>
    <w:rsid w:val="00DE54C2"/>
    <w:rsid w:val="00DE5CCD"/>
    <w:rsid w:val="00DE706D"/>
    <w:rsid w:val="00DE77B5"/>
    <w:rsid w:val="00DF1840"/>
    <w:rsid w:val="00DF2195"/>
    <w:rsid w:val="00DF243E"/>
    <w:rsid w:val="00DF2FF3"/>
    <w:rsid w:val="00DF39DB"/>
    <w:rsid w:val="00DF3AE9"/>
    <w:rsid w:val="00DF42F1"/>
    <w:rsid w:val="00DF7512"/>
    <w:rsid w:val="00E00B61"/>
    <w:rsid w:val="00E04FB1"/>
    <w:rsid w:val="00E12D20"/>
    <w:rsid w:val="00E13558"/>
    <w:rsid w:val="00E14DC8"/>
    <w:rsid w:val="00E158B4"/>
    <w:rsid w:val="00E215B8"/>
    <w:rsid w:val="00E218D2"/>
    <w:rsid w:val="00E22611"/>
    <w:rsid w:val="00E24824"/>
    <w:rsid w:val="00E24C2F"/>
    <w:rsid w:val="00E25FF5"/>
    <w:rsid w:val="00E261F7"/>
    <w:rsid w:val="00E26CAB"/>
    <w:rsid w:val="00E31C00"/>
    <w:rsid w:val="00E31F94"/>
    <w:rsid w:val="00E34E78"/>
    <w:rsid w:val="00E351B8"/>
    <w:rsid w:val="00E35473"/>
    <w:rsid w:val="00E35BE5"/>
    <w:rsid w:val="00E35C64"/>
    <w:rsid w:val="00E36699"/>
    <w:rsid w:val="00E36F1E"/>
    <w:rsid w:val="00E3738E"/>
    <w:rsid w:val="00E376AD"/>
    <w:rsid w:val="00E40B8A"/>
    <w:rsid w:val="00E40DF0"/>
    <w:rsid w:val="00E4168B"/>
    <w:rsid w:val="00E4194B"/>
    <w:rsid w:val="00E4283D"/>
    <w:rsid w:val="00E4524A"/>
    <w:rsid w:val="00E46DA4"/>
    <w:rsid w:val="00E50DB2"/>
    <w:rsid w:val="00E51477"/>
    <w:rsid w:val="00E525F9"/>
    <w:rsid w:val="00E52C99"/>
    <w:rsid w:val="00E52DE1"/>
    <w:rsid w:val="00E53029"/>
    <w:rsid w:val="00E537DF"/>
    <w:rsid w:val="00E542AA"/>
    <w:rsid w:val="00E5459A"/>
    <w:rsid w:val="00E54B63"/>
    <w:rsid w:val="00E557E3"/>
    <w:rsid w:val="00E558F1"/>
    <w:rsid w:val="00E55FA3"/>
    <w:rsid w:val="00E7146B"/>
    <w:rsid w:val="00E727FA"/>
    <w:rsid w:val="00E72E0E"/>
    <w:rsid w:val="00E75829"/>
    <w:rsid w:val="00E76F02"/>
    <w:rsid w:val="00E77C73"/>
    <w:rsid w:val="00E81F54"/>
    <w:rsid w:val="00E82504"/>
    <w:rsid w:val="00E83693"/>
    <w:rsid w:val="00E84334"/>
    <w:rsid w:val="00E84770"/>
    <w:rsid w:val="00E86A00"/>
    <w:rsid w:val="00E87E25"/>
    <w:rsid w:val="00E92CCA"/>
    <w:rsid w:val="00E933F9"/>
    <w:rsid w:val="00E93F27"/>
    <w:rsid w:val="00E9423B"/>
    <w:rsid w:val="00E95ADC"/>
    <w:rsid w:val="00E974A3"/>
    <w:rsid w:val="00E97D0B"/>
    <w:rsid w:val="00EA0EEB"/>
    <w:rsid w:val="00EA4241"/>
    <w:rsid w:val="00EA48B1"/>
    <w:rsid w:val="00EA66E4"/>
    <w:rsid w:val="00EB18B5"/>
    <w:rsid w:val="00EB3023"/>
    <w:rsid w:val="00EB3C37"/>
    <w:rsid w:val="00EB3E44"/>
    <w:rsid w:val="00EB55B9"/>
    <w:rsid w:val="00EB64B4"/>
    <w:rsid w:val="00EC07E6"/>
    <w:rsid w:val="00EC0EE2"/>
    <w:rsid w:val="00EC4C80"/>
    <w:rsid w:val="00EC798A"/>
    <w:rsid w:val="00EC7C20"/>
    <w:rsid w:val="00ED1364"/>
    <w:rsid w:val="00ED1467"/>
    <w:rsid w:val="00ED3C2A"/>
    <w:rsid w:val="00ED4A67"/>
    <w:rsid w:val="00ED4D7C"/>
    <w:rsid w:val="00ED550F"/>
    <w:rsid w:val="00ED7AD4"/>
    <w:rsid w:val="00EE1A5D"/>
    <w:rsid w:val="00EE2E07"/>
    <w:rsid w:val="00EE2F86"/>
    <w:rsid w:val="00EE56E9"/>
    <w:rsid w:val="00EE66C3"/>
    <w:rsid w:val="00EF0450"/>
    <w:rsid w:val="00EF0670"/>
    <w:rsid w:val="00EF13BD"/>
    <w:rsid w:val="00EF473C"/>
    <w:rsid w:val="00EF50C2"/>
    <w:rsid w:val="00EF6785"/>
    <w:rsid w:val="00F01380"/>
    <w:rsid w:val="00F01F5F"/>
    <w:rsid w:val="00F022CC"/>
    <w:rsid w:val="00F024E4"/>
    <w:rsid w:val="00F02FB8"/>
    <w:rsid w:val="00F03030"/>
    <w:rsid w:val="00F03DB9"/>
    <w:rsid w:val="00F04614"/>
    <w:rsid w:val="00F06BC8"/>
    <w:rsid w:val="00F07557"/>
    <w:rsid w:val="00F1064C"/>
    <w:rsid w:val="00F10BC0"/>
    <w:rsid w:val="00F10FA7"/>
    <w:rsid w:val="00F115FF"/>
    <w:rsid w:val="00F13EB5"/>
    <w:rsid w:val="00F14F2C"/>
    <w:rsid w:val="00F15B57"/>
    <w:rsid w:val="00F15DF0"/>
    <w:rsid w:val="00F179D2"/>
    <w:rsid w:val="00F17C34"/>
    <w:rsid w:val="00F202D2"/>
    <w:rsid w:val="00F229DD"/>
    <w:rsid w:val="00F22DE2"/>
    <w:rsid w:val="00F23C30"/>
    <w:rsid w:val="00F24DB7"/>
    <w:rsid w:val="00F26B36"/>
    <w:rsid w:val="00F26D07"/>
    <w:rsid w:val="00F31862"/>
    <w:rsid w:val="00F3189F"/>
    <w:rsid w:val="00F32D30"/>
    <w:rsid w:val="00F32E1C"/>
    <w:rsid w:val="00F33D70"/>
    <w:rsid w:val="00F34CF6"/>
    <w:rsid w:val="00F3500D"/>
    <w:rsid w:val="00F36850"/>
    <w:rsid w:val="00F3784F"/>
    <w:rsid w:val="00F37C5F"/>
    <w:rsid w:val="00F40A71"/>
    <w:rsid w:val="00F40CEF"/>
    <w:rsid w:val="00F41C75"/>
    <w:rsid w:val="00F42F77"/>
    <w:rsid w:val="00F43253"/>
    <w:rsid w:val="00F434FA"/>
    <w:rsid w:val="00F443F0"/>
    <w:rsid w:val="00F4463D"/>
    <w:rsid w:val="00F44FAD"/>
    <w:rsid w:val="00F46C1C"/>
    <w:rsid w:val="00F50330"/>
    <w:rsid w:val="00F50A14"/>
    <w:rsid w:val="00F510DC"/>
    <w:rsid w:val="00F515F1"/>
    <w:rsid w:val="00F53C12"/>
    <w:rsid w:val="00F54AB4"/>
    <w:rsid w:val="00F55884"/>
    <w:rsid w:val="00F57F39"/>
    <w:rsid w:val="00F609FC"/>
    <w:rsid w:val="00F61DD7"/>
    <w:rsid w:val="00F62DD6"/>
    <w:rsid w:val="00F64993"/>
    <w:rsid w:val="00F6575E"/>
    <w:rsid w:val="00F65AAC"/>
    <w:rsid w:val="00F65DA9"/>
    <w:rsid w:val="00F66B93"/>
    <w:rsid w:val="00F72432"/>
    <w:rsid w:val="00F73113"/>
    <w:rsid w:val="00F73176"/>
    <w:rsid w:val="00F732D4"/>
    <w:rsid w:val="00F739E4"/>
    <w:rsid w:val="00F7611C"/>
    <w:rsid w:val="00F77687"/>
    <w:rsid w:val="00F777F1"/>
    <w:rsid w:val="00F80DF6"/>
    <w:rsid w:val="00F810DF"/>
    <w:rsid w:val="00F82305"/>
    <w:rsid w:val="00F82E00"/>
    <w:rsid w:val="00F831E7"/>
    <w:rsid w:val="00F84375"/>
    <w:rsid w:val="00F84E78"/>
    <w:rsid w:val="00F8654C"/>
    <w:rsid w:val="00F8789B"/>
    <w:rsid w:val="00F92083"/>
    <w:rsid w:val="00F92DFC"/>
    <w:rsid w:val="00F931F8"/>
    <w:rsid w:val="00F94380"/>
    <w:rsid w:val="00F955DA"/>
    <w:rsid w:val="00F96D3D"/>
    <w:rsid w:val="00FA1544"/>
    <w:rsid w:val="00FA3BCB"/>
    <w:rsid w:val="00FA5C46"/>
    <w:rsid w:val="00FA6331"/>
    <w:rsid w:val="00FA6727"/>
    <w:rsid w:val="00FA71E9"/>
    <w:rsid w:val="00FB2169"/>
    <w:rsid w:val="00FB329C"/>
    <w:rsid w:val="00FB48CD"/>
    <w:rsid w:val="00FB4B7D"/>
    <w:rsid w:val="00FB589B"/>
    <w:rsid w:val="00FB5D55"/>
    <w:rsid w:val="00FC32CF"/>
    <w:rsid w:val="00FC3DFE"/>
    <w:rsid w:val="00FC4B0A"/>
    <w:rsid w:val="00FC6FC4"/>
    <w:rsid w:val="00FC79FF"/>
    <w:rsid w:val="00FC7B78"/>
    <w:rsid w:val="00FD0414"/>
    <w:rsid w:val="00FD087E"/>
    <w:rsid w:val="00FD1A26"/>
    <w:rsid w:val="00FD2AEB"/>
    <w:rsid w:val="00FD2B54"/>
    <w:rsid w:val="00FD3009"/>
    <w:rsid w:val="00FD548A"/>
    <w:rsid w:val="00FD65CA"/>
    <w:rsid w:val="00FE0F3D"/>
    <w:rsid w:val="00FE1151"/>
    <w:rsid w:val="00FE1BEF"/>
    <w:rsid w:val="00FE3129"/>
    <w:rsid w:val="00FE597F"/>
    <w:rsid w:val="00FE74E0"/>
    <w:rsid w:val="00FF121D"/>
    <w:rsid w:val="00FF143D"/>
    <w:rsid w:val="00FF1810"/>
    <w:rsid w:val="00FF1FC6"/>
    <w:rsid w:val="00FF29C0"/>
    <w:rsid w:val="00FF305B"/>
    <w:rsid w:val="00FF4584"/>
    <w:rsid w:val="00FF59BB"/>
    <w:rsid w:val="00FF681C"/>
    <w:rsid w:val="00FF6F6F"/>
    <w:rsid w:val="00FF75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5B66D"/>
  <w15:docId w15:val="{85C1D798-AD84-4FDC-89FC-2A1000E7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D4D"/>
    <w:pPr>
      <w:suppressAutoHyphens/>
    </w:pPr>
    <w:rPr>
      <w:sz w:val="24"/>
      <w:szCs w:val="24"/>
      <w:lang w:eastAsia="ar-SA"/>
    </w:rPr>
  </w:style>
  <w:style w:type="paragraph" w:styleId="Heading1">
    <w:name w:val="heading 1"/>
    <w:basedOn w:val="Normal"/>
    <w:next w:val="Normal"/>
    <w:qFormat/>
    <w:rsid w:val="00644BCD"/>
    <w:pPr>
      <w:keepNext/>
      <w:suppressAutoHyphens w:val="0"/>
      <w:jc w:val="center"/>
      <w:outlineLvl w:val="0"/>
    </w:pPr>
    <w:rPr>
      <w:b/>
      <w:bCs/>
      <w:szCs w:val="20"/>
      <w:lang w:eastAsia="en-US"/>
    </w:rPr>
  </w:style>
  <w:style w:type="paragraph" w:styleId="Heading3">
    <w:name w:val="heading 3"/>
    <w:basedOn w:val="Normal"/>
    <w:next w:val="Normal"/>
    <w:link w:val="Heading3Char"/>
    <w:qFormat/>
    <w:rsid w:val="00E8433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44BCD"/>
    <w:rPr>
      <w:b/>
      <w:bCs/>
    </w:rPr>
  </w:style>
  <w:style w:type="character" w:styleId="Hyperlink">
    <w:name w:val="Hyperlink"/>
    <w:uiPriority w:val="99"/>
    <w:rsid w:val="00644BCD"/>
    <w:rPr>
      <w:strike w:val="0"/>
      <w:dstrike w:val="0"/>
      <w:color w:val="325883"/>
      <w:u w:val="none"/>
    </w:rPr>
  </w:style>
  <w:style w:type="character" w:customStyle="1" w:styleId="arial101">
    <w:name w:val="arial101"/>
    <w:rsid w:val="00644BCD"/>
    <w:rPr>
      <w:rFonts w:ascii="Arial" w:hAnsi="Arial" w:cs="Arial"/>
      <w:sz w:val="20"/>
      <w:szCs w:val="20"/>
    </w:rPr>
  </w:style>
  <w:style w:type="paragraph" w:customStyle="1" w:styleId="Brdtekstpflgende">
    <w:name w:val="Brødtekst påfølgende"/>
    <w:basedOn w:val="BodyText"/>
    <w:rsid w:val="00644BCD"/>
    <w:pPr>
      <w:spacing w:before="60" w:after="60"/>
    </w:pPr>
    <w:rPr>
      <w:szCs w:val="20"/>
      <w:lang w:val="nb-NO" w:eastAsia="en-US"/>
    </w:rPr>
  </w:style>
  <w:style w:type="paragraph" w:styleId="BodyText">
    <w:name w:val="Body Text"/>
    <w:basedOn w:val="Normal"/>
    <w:link w:val="BodyTextChar"/>
    <w:rsid w:val="00644BCD"/>
    <w:pPr>
      <w:suppressAutoHyphens w:val="0"/>
      <w:spacing w:after="120"/>
    </w:pPr>
    <w:rPr>
      <w:lang w:eastAsia="lt-LT"/>
    </w:rPr>
  </w:style>
  <w:style w:type="character" w:customStyle="1" w:styleId="lineitems1">
    <w:name w:val="lineitems1"/>
    <w:rsid w:val="00644BCD"/>
    <w:rPr>
      <w:sz w:val="17"/>
      <w:szCs w:val="17"/>
    </w:rPr>
  </w:style>
  <w:style w:type="character" w:styleId="HTMLTypewriter">
    <w:name w:val="HTML Typewriter"/>
    <w:rsid w:val="00644BCD"/>
    <w:rPr>
      <w:rFonts w:ascii="Courier New" w:eastAsia="Courier New" w:hAnsi="Courier New" w:cs="Courier New"/>
      <w:sz w:val="20"/>
      <w:szCs w:val="20"/>
    </w:rPr>
  </w:style>
  <w:style w:type="paragraph" w:styleId="BalloonText">
    <w:name w:val="Balloon Text"/>
    <w:basedOn w:val="Normal"/>
    <w:semiHidden/>
    <w:rsid w:val="006F0B5D"/>
    <w:rPr>
      <w:rFonts w:ascii="Tahoma" w:hAnsi="Tahoma" w:cs="Tahoma"/>
      <w:sz w:val="16"/>
      <w:szCs w:val="16"/>
    </w:rPr>
  </w:style>
  <w:style w:type="paragraph" w:styleId="Header">
    <w:name w:val="header"/>
    <w:basedOn w:val="Normal"/>
    <w:link w:val="HeaderChar"/>
    <w:uiPriority w:val="99"/>
    <w:rsid w:val="00DA0134"/>
    <w:pPr>
      <w:tabs>
        <w:tab w:val="center" w:pos="4153"/>
        <w:tab w:val="right" w:pos="8306"/>
      </w:tabs>
      <w:suppressAutoHyphens w:val="0"/>
    </w:pPr>
    <w:rPr>
      <w:rFonts w:ascii="TimesLT" w:hAnsi="TimesLT"/>
      <w:szCs w:val="20"/>
      <w:lang w:val="en-US" w:eastAsia="en-US"/>
    </w:rPr>
  </w:style>
  <w:style w:type="character" w:styleId="CommentReference">
    <w:name w:val="annotation reference"/>
    <w:uiPriority w:val="99"/>
    <w:semiHidden/>
    <w:rsid w:val="00153E94"/>
    <w:rPr>
      <w:sz w:val="16"/>
      <w:szCs w:val="16"/>
    </w:rPr>
  </w:style>
  <w:style w:type="paragraph" w:styleId="CommentText">
    <w:name w:val="annotation text"/>
    <w:basedOn w:val="Normal"/>
    <w:link w:val="CommentTextChar"/>
    <w:uiPriority w:val="99"/>
    <w:semiHidden/>
    <w:rsid w:val="00153E94"/>
    <w:rPr>
      <w:sz w:val="20"/>
      <w:szCs w:val="20"/>
      <w:lang w:val="x-none"/>
    </w:rPr>
  </w:style>
  <w:style w:type="paragraph" w:styleId="CommentSubject">
    <w:name w:val="annotation subject"/>
    <w:basedOn w:val="CommentText"/>
    <w:next w:val="CommentText"/>
    <w:semiHidden/>
    <w:rsid w:val="00153E94"/>
    <w:rPr>
      <w:b/>
      <w:bCs/>
    </w:rPr>
  </w:style>
  <w:style w:type="paragraph" w:styleId="DocumentMap">
    <w:name w:val="Document Map"/>
    <w:basedOn w:val="Normal"/>
    <w:semiHidden/>
    <w:rsid w:val="005F75B9"/>
    <w:pPr>
      <w:shd w:val="clear" w:color="auto" w:fill="000080"/>
    </w:pPr>
    <w:rPr>
      <w:rFonts w:ascii="Tahoma" w:hAnsi="Tahoma" w:cs="Tahoma"/>
      <w:sz w:val="20"/>
      <w:szCs w:val="20"/>
    </w:rPr>
  </w:style>
  <w:style w:type="paragraph" w:styleId="Title">
    <w:name w:val="Title"/>
    <w:basedOn w:val="Normal"/>
    <w:link w:val="TitleChar"/>
    <w:qFormat/>
    <w:rsid w:val="0052698A"/>
    <w:pPr>
      <w:suppressAutoHyphens w:val="0"/>
      <w:jc w:val="center"/>
    </w:pPr>
    <w:rPr>
      <w:b/>
      <w:bCs/>
      <w:lang w:val="x-none" w:eastAsia="x-none"/>
    </w:rPr>
  </w:style>
  <w:style w:type="character" w:customStyle="1" w:styleId="TitleChar">
    <w:name w:val="Title Char"/>
    <w:link w:val="Title"/>
    <w:rsid w:val="0052698A"/>
    <w:rPr>
      <w:b/>
      <w:bCs/>
      <w:sz w:val="24"/>
      <w:szCs w:val="24"/>
    </w:rPr>
  </w:style>
  <w:style w:type="paragraph" w:styleId="PlainText">
    <w:name w:val="Plain Text"/>
    <w:basedOn w:val="Normal"/>
    <w:link w:val="PlainTextChar"/>
    <w:uiPriority w:val="99"/>
    <w:unhideWhenUsed/>
    <w:rsid w:val="004E4C0C"/>
    <w:pPr>
      <w:suppressAutoHyphens w:val="0"/>
    </w:pPr>
    <w:rPr>
      <w:rFonts w:ascii="Consolas" w:eastAsia="Calibri" w:hAnsi="Consolas"/>
      <w:sz w:val="21"/>
      <w:szCs w:val="21"/>
      <w:lang w:val="x-none" w:eastAsia="x-none"/>
    </w:rPr>
  </w:style>
  <w:style w:type="character" w:customStyle="1" w:styleId="PlainTextChar">
    <w:name w:val="Plain Text Char"/>
    <w:link w:val="PlainText"/>
    <w:uiPriority w:val="99"/>
    <w:rsid w:val="004E4C0C"/>
    <w:rPr>
      <w:rFonts w:ascii="Consolas" w:eastAsia="Calibri" w:hAnsi="Consolas" w:cs="Times New Roman"/>
      <w:sz w:val="21"/>
      <w:szCs w:val="21"/>
    </w:rPr>
  </w:style>
  <w:style w:type="character" w:customStyle="1" w:styleId="jolaale">
    <w:name w:val="jolaale"/>
    <w:semiHidden/>
    <w:rsid w:val="0037387D"/>
    <w:rPr>
      <w:rFonts w:ascii="Times New Roman" w:hAnsi="Times New Roman" w:cs="Times New Roman"/>
      <w:b w:val="0"/>
      <w:bCs w:val="0"/>
      <w:i w:val="0"/>
      <w:iCs w:val="0"/>
      <w:strike w:val="0"/>
      <w:color w:val="auto"/>
      <w:sz w:val="24"/>
      <w:szCs w:val="24"/>
      <w:u w:val="none"/>
    </w:rPr>
  </w:style>
  <w:style w:type="character" w:styleId="Emphasis">
    <w:name w:val="Emphasis"/>
    <w:qFormat/>
    <w:rsid w:val="000D2B70"/>
    <w:rPr>
      <w:rFonts w:cs="Times New Roman"/>
      <w:i/>
    </w:rPr>
  </w:style>
  <w:style w:type="paragraph" w:customStyle="1" w:styleId="Lentelsturinys">
    <w:name w:val="Lentelės turinys"/>
    <w:basedOn w:val="Normal"/>
    <w:rsid w:val="008C186C"/>
    <w:pPr>
      <w:widowControl w:val="0"/>
      <w:suppressLineNumbers/>
    </w:pPr>
    <w:rPr>
      <w:rFonts w:eastAsia="WenQuanYi Micro Hei" w:cs="Lohit Hindi"/>
      <w:kern w:val="1"/>
      <w:lang w:eastAsia="hi-IN" w:bidi="hi-IN"/>
    </w:rPr>
  </w:style>
  <w:style w:type="character" w:customStyle="1" w:styleId="Heading3Char">
    <w:name w:val="Heading 3 Char"/>
    <w:link w:val="Heading3"/>
    <w:rsid w:val="00E84334"/>
    <w:rPr>
      <w:rFonts w:ascii="Cambria" w:hAnsi="Cambria"/>
      <w:b/>
      <w:bCs/>
      <w:sz w:val="26"/>
      <w:szCs w:val="26"/>
      <w:lang w:val="lt-LT" w:eastAsia="ar-SA" w:bidi="ar-SA"/>
    </w:rPr>
  </w:style>
  <w:style w:type="paragraph" w:customStyle="1" w:styleId="lentelestekstas">
    <w:name w:val="lenteles_tekstas"/>
    <w:basedOn w:val="Normal"/>
    <w:qFormat/>
    <w:rsid w:val="001212FB"/>
    <w:pPr>
      <w:suppressAutoHyphens w:val="0"/>
    </w:pPr>
    <w:rPr>
      <w:rFonts w:eastAsia="Calibri"/>
      <w:sz w:val="20"/>
      <w:szCs w:val="20"/>
      <w:lang w:eastAsia="lt-LT"/>
    </w:rPr>
  </w:style>
  <w:style w:type="character" w:customStyle="1" w:styleId="apple-style-span">
    <w:name w:val="apple-style-span"/>
    <w:basedOn w:val="DefaultParagraphFont"/>
    <w:rsid w:val="005E267E"/>
  </w:style>
  <w:style w:type="paragraph" w:styleId="NormalWeb">
    <w:name w:val="Normal (Web)"/>
    <w:basedOn w:val="Normal"/>
    <w:uiPriority w:val="99"/>
    <w:rsid w:val="00F24DB7"/>
    <w:pPr>
      <w:suppressAutoHyphens w:val="0"/>
      <w:spacing w:before="100" w:beforeAutospacing="1" w:after="120"/>
    </w:pPr>
    <w:rPr>
      <w:lang w:val="en-US" w:eastAsia="en-US"/>
    </w:rPr>
  </w:style>
  <w:style w:type="paragraph" w:styleId="ListParagraph">
    <w:name w:val="List Paragraph"/>
    <w:basedOn w:val="Normal"/>
    <w:link w:val="ListParagraphChar"/>
    <w:uiPriority w:val="34"/>
    <w:qFormat/>
    <w:rsid w:val="00956465"/>
    <w:pPr>
      <w:suppressAutoHyphens w:val="0"/>
      <w:spacing w:after="200" w:line="276" w:lineRule="auto"/>
      <w:ind w:left="720"/>
      <w:contextualSpacing/>
    </w:pPr>
    <w:rPr>
      <w:rFonts w:ascii="Calibri" w:hAnsi="Calibri"/>
      <w:sz w:val="22"/>
      <w:szCs w:val="22"/>
      <w:lang w:val="en-US" w:eastAsia="en-US"/>
    </w:rPr>
  </w:style>
  <w:style w:type="character" w:customStyle="1" w:styleId="BodyTextChar">
    <w:name w:val="Body Text Char"/>
    <w:link w:val="BodyText"/>
    <w:locked/>
    <w:rsid w:val="00A67DA9"/>
    <w:rPr>
      <w:sz w:val="24"/>
      <w:szCs w:val="24"/>
      <w:lang w:val="lt-LT" w:eastAsia="lt-LT" w:bidi="ar-SA"/>
    </w:rPr>
  </w:style>
  <w:style w:type="character" w:styleId="FollowedHyperlink">
    <w:name w:val="FollowedHyperlink"/>
    <w:semiHidden/>
    <w:rsid w:val="00AA4271"/>
    <w:rPr>
      <w:rFonts w:cs="Times New Roman"/>
      <w:color w:val="800080"/>
      <w:u w:val="single"/>
    </w:rPr>
  </w:style>
  <w:style w:type="paragraph" w:styleId="Footer">
    <w:name w:val="footer"/>
    <w:basedOn w:val="Normal"/>
    <w:link w:val="FooterChar"/>
    <w:uiPriority w:val="99"/>
    <w:rsid w:val="00822554"/>
    <w:pPr>
      <w:tabs>
        <w:tab w:val="center" w:pos="4819"/>
        <w:tab w:val="right" w:pos="9638"/>
      </w:tabs>
    </w:pPr>
  </w:style>
  <w:style w:type="character" w:styleId="PageNumber">
    <w:name w:val="page number"/>
    <w:basedOn w:val="DefaultParagraphFont"/>
    <w:rsid w:val="00822554"/>
  </w:style>
  <w:style w:type="character" w:customStyle="1" w:styleId="TableChar">
    <w:name w:val="Table Char"/>
    <w:link w:val="Table"/>
    <w:locked/>
    <w:rsid w:val="00AD65E0"/>
    <w:rPr>
      <w:rFonts w:cs="Calibri"/>
    </w:rPr>
  </w:style>
  <w:style w:type="paragraph" w:customStyle="1" w:styleId="Table">
    <w:name w:val="Table"/>
    <w:basedOn w:val="Normal"/>
    <w:link w:val="TableChar"/>
    <w:qFormat/>
    <w:rsid w:val="00AD65E0"/>
    <w:pPr>
      <w:suppressAutoHyphens w:val="0"/>
    </w:pPr>
    <w:rPr>
      <w:sz w:val="20"/>
      <w:szCs w:val="20"/>
      <w:lang w:val="x-none" w:eastAsia="x-none"/>
    </w:rPr>
  </w:style>
  <w:style w:type="character" w:customStyle="1" w:styleId="CommentTextChar">
    <w:name w:val="Comment Text Char"/>
    <w:link w:val="CommentText"/>
    <w:uiPriority w:val="99"/>
    <w:semiHidden/>
    <w:rsid w:val="00AD65E0"/>
    <w:rPr>
      <w:lang w:eastAsia="ar-SA"/>
    </w:rPr>
  </w:style>
  <w:style w:type="paragraph" w:customStyle="1" w:styleId="Default">
    <w:name w:val="Default"/>
    <w:rsid w:val="00AD65E0"/>
    <w:pPr>
      <w:autoSpaceDE w:val="0"/>
      <w:autoSpaceDN w:val="0"/>
      <w:adjustRightInd w:val="0"/>
    </w:pPr>
    <w:rPr>
      <w:rFonts w:ascii="Museo Sans For Dell 300" w:eastAsia="Calibri" w:hAnsi="Museo Sans For Dell 300" w:cs="Museo Sans For Dell 300"/>
      <w:color w:val="000000"/>
      <w:sz w:val="24"/>
      <w:szCs w:val="24"/>
      <w:lang w:val="en-US" w:eastAsia="en-US"/>
    </w:rPr>
  </w:style>
  <w:style w:type="character" w:customStyle="1" w:styleId="itemname1">
    <w:name w:val="itemname1"/>
    <w:rsid w:val="00E93F27"/>
    <w:rPr>
      <w:rFonts w:ascii="Arial" w:hAnsi="Arial" w:cs="Arial" w:hint="default"/>
      <w:b/>
      <w:bCs/>
      <w:color w:val="004276"/>
      <w:sz w:val="17"/>
      <w:szCs w:val="17"/>
    </w:rPr>
  </w:style>
  <w:style w:type="paragraph" w:styleId="Revision">
    <w:name w:val="Revision"/>
    <w:hidden/>
    <w:uiPriority w:val="99"/>
    <w:semiHidden/>
    <w:rsid w:val="00C70BCF"/>
    <w:rPr>
      <w:sz w:val="24"/>
      <w:szCs w:val="24"/>
      <w:lang w:eastAsia="ar-SA"/>
    </w:rPr>
  </w:style>
  <w:style w:type="character" w:customStyle="1" w:styleId="HeaderChar">
    <w:name w:val="Header Char"/>
    <w:link w:val="Header"/>
    <w:uiPriority w:val="99"/>
    <w:rsid w:val="006577D6"/>
    <w:rPr>
      <w:rFonts w:ascii="TimesLT" w:hAnsi="TimesLT"/>
      <w:sz w:val="24"/>
      <w:lang w:val="en-US" w:eastAsia="en-US"/>
    </w:rPr>
  </w:style>
  <w:style w:type="paragraph" w:styleId="NoSpacing">
    <w:name w:val="No Spacing"/>
    <w:uiPriority w:val="1"/>
    <w:qFormat/>
    <w:rsid w:val="00E36699"/>
    <w:rPr>
      <w:rFonts w:ascii="Calibri" w:eastAsia="Calibri" w:hAnsi="Calibri"/>
      <w:sz w:val="22"/>
      <w:szCs w:val="22"/>
      <w:lang w:eastAsia="en-US"/>
    </w:rPr>
  </w:style>
  <w:style w:type="character" w:customStyle="1" w:styleId="ListParagraphChar">
    <w:name w:val="List Paragraph Char"/>
    <w:link w:val="ListParagraph"/>
    <w:uiPriority w:val="34"/>
    <w:locked/>
    <w:rsid w:val="00BD15C0"/>
    <w:rPr>
      <w:rFonts w:ascii="Calibri" w:hAnsi="Calibri"/>
      <w:sz w:val="22"/>
      <w:szCs w:val="22"/>
      <w:lang w:val="en-US" w:eastAsia="en-US"/>
    </w:rPr>
  </w:style>
  <w:style w:type="character" w:customStyle="1" w:styleId="NumeracijaChar">
    <w:name w:val="_Numeracija Char"/>
    <w:basedOn w:val="DefaultParagraphFont"/>
    <w:link w:val="Numeracija"/>
    <w:locked/>
    <w:rsid w:val="004B24CA"/>
    <w:rPr>
      <w:color w:val="000000"/>
    </w:rPr>
  </w:style>
  <w:style w:type="paragraph" w:customStyle="1" w:styleId="Numeracija">
    <w:name w:val="_Numeracija"/>
    <w:basedOn w:val="Normal"/>
    <w:link w:val="NumeracijaChar"/>
    <w:rsid w:val="004B24CA"/>
    <w:pPr>
      <w:numPr>
        <w:numId w:val="34"/>
      </w:numPr>
      <w:suppressAutoHyphens w:val="0"/>
      <w:spacing w:before="60" w:after="60" w:line="276" w:lineRule="auto"/>
      <w:jc w:val="both"/>
    </w:pPr>
    <w:rPr>
      <w:color w:val="000000"/>
      <w:sz w:val="20"/>
      <w:szCs w:val="20"/>
      <w:lang w:eastAsia="lt-LT"/>
    </w:rPr>
  </w:style>
  <w:style w:type="character" w:customStyle="1" w:styleId="FooterChar">
    <w:name w:val="Footer Char"/>
    <w:basedOn w:val="DefaultParagraphFont"/>
    <w:link w:val="Footer"/>
    <w:uiPriority w:val="99"/>
    <w:rsid w:val="003850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550">
      <w:bodyDiv w:val="1"/>
      <w:marLeft w:val="0"/>
      <w:marRight w:val="0"/>
      <w:marTop w:val="0"/>
      <w:marBottom w:val="0"/>
      <w:divBdr>
        <w:top w:val="none" w:sz="0" w:space="0" w:color="auto"/>
        <w:left w:val="none" w:sz="0" w:space="0" w:color="auto"/>
        <w:bottom w:val="none" w:sz="0" w:space="0" w:color="auto"/>
        <w:right w:val="none" w:sz="0" w:space="0" w:color="auto"/>
      </w:divBdr>
    </w:div>
    <w:div w:id="18120153">
      <w:bodyDiv w:val="1"/>
      <w:marLeft w:val="0"/>
      <w:marRight w:val="0"/>
      <w:marTop w:val="0"/>
      <w:marBottom w:val="0"/>
      <w:divBdr>
        <w:top w:val="none" w:sz="0" w:space="0" w:color="auto"/>
        <w:left w:val="none" w:sz="0" w:space="0" w:color="auto"/>
        <w:bottom w:val="none" w:sz="0" w:space="0" w:color="auto"/>
        <w:right w:val="none" w:sz="0" w:space="0" w:color="auto"/>
      </w:divBdr>
      <w:divsChild>
        <w:div w:id="2000041170">
          <w:marLeft w:val="0"/>
          <w:marRight w:val="0"/>
          <w:marTop w:val="0"/>
          <w:marBottom w:val="0"/>
          <w:divBdr>
            <w:top w:val="none" w:sz="0" w:space="0" w:color="auto"/>
            <w:left w:val="none" w:sz="0" w:space="0" w:color="auto"/>
            <w:bottom w:val="none" w:sz="0" w:space="0" w:color="auto"/>
            <w:right w:val="none" w:sz="0" w:space="0" w:color="auto"/>
          </w:divBdr>
        </w:div>
      </w:divsChild>
    </w:div>
    <w:div w:id="105737006">
      <w:bodyDiv w:val="1"/>
      <w:marLeft w:val="0"/>
      <w:marRight w:val="0"/>
      <w:marTop w:val="0"/>
      <w:marBottom w:val="0"/>
      <w:divBdr>
        <w:top w:val="none" w:sz="0" w:space="0" w:color="auto"/>
        <w:left w:val="none" w:sz="0" w:space="0" w:color="auto"/>
        <w:bottom w:val="none" w:sz="0" w:space="0" w:color="auto"/>
        <w:right w:val="none" w:sz="0" w:space="0" w:color="auto"/>
      </w:divBdr>
    </w:div>
    <w:div w:id="123500265">
      <w:bodyDiv w:val="1"/>
      <w:marLeft w:val="0"/>
      <w:marRight w:val="0"/>
      <w:marTop w:val="0"/>
      <w:marBottom w:val="0"/>
      <w:divBdr>
        <w:top w:val="none" w:sz="0" w:space="0" w:color="auto"/>
        <w:left w:val="none" w:sz="0" w:space="0" w:color="auto"/>
        <w:bottom w:val="none" w:sz="0" w:space="0" w:color="auto"/>
        <w:right w:val="none" w:sz="0" w:space="0" w:color="auto"/>
      </w:divBdr>
    </w:div>
    <w:div w:id="433870257">
      <w:bodyDiv w:val="1"/>
      <w:marLeft w:val="0"/>
      <w:marRight w:val="0"/>
      <w:marTop w:val="0"/>
      <w:marBottom w:val="0"/>
      <w:divBdr>
        <w:top w:val="none" w:sz="0" w:space="0" w:color="auto"/>
        <w:left w:val="none" w:sz="0" w:space="0" w:color="auto"/>
        <w:bottom w:val="none" w:sz="0" w:space="0" w:color="auto"/>
        <w:right w:val="none" w:sz="0" w:space="0" w:color="auto"/>
      </w:divBdr>
    </w:div>
    <w:div w:id="562958089">
      <w:bodyDiv w:val="1"/>
      <w:marLeft w:val="0"/>
      <w:marRight w:val="0"/>
      <w:marTop w:val="0"/>
      <w:marBottom w:val="0"/>
      <w:divBdr>
        <w:top w:val="none" w:sz="0" w:space="0" w:color="auto"/>
        <w:left w:val="none" w:sz="0" w:space="0" w:color="auto"/>
        <w:bottom w:val="none" w:sz="0" w:space="0" w:color="auto"/>
        <w:right w:val="none" w:sz="0" w:space="0" w:color="auto"/>
      </w:divBdr>
    </w:div>
    <w:div w:id="686636298">
      <w:bodyDiv w:val="1"/>
      <w:marLeft w:val="0"/>
      <w:marRight w:val="0"/>
      <w:marTop w:val="0"/>
      <w:marBottom w:val="0"/>
      <w:divBdr>
        <w:top w:val="none" w:sz="0" w:space="0" w:color="auto"/>
        <w:left w:val="none" w:sz="0" w:space="0" w:color="auto"/>
        <w:bottom w:val="none" w:sz="0" w:space="0" w:color="auto"/>
        <w:right w:val="none" w:sz="0" w:space="0" w:color="auto"/>
      </w:divBdr>
    </w:div>
    <w:div w:id="703873291">
      <w:bodyDiv w:val="1"/>
      <w:marLeft w:val="0"/>
      <w:marRight w:val="0"/>
      <w:marTop w:val="0"/>
      <w:marBottom w:val="0"/>
      <w:divBdr>
        <w:top w:val="none" w:sz="0" w:space="0" w:color="auto"/>
        <w:left w:val="none" w:sz="0" w:space="0" w:color="auto"/>
        <w:bottom w:val="none" w:sz="0" w:space="0" w:color="auto"/>
        <w:right w:val="none" w:sz="0" w:space="0" w:color="auto"/>
      </w:divBdr>
    </w:div>
    <w:div w:id="994147326">
      <w:bodyDiv w:val="1"/>
      <w:marLeft w:val="0"/>
      <w:marRight w:val="0"/>
      <w:marTop w:val="0"/>
      <w:marBottom w:val="0"/>
      <w:divBdr>
        <w:top w:val="none" w:sz="0" w:space="0" w:color="auto"/>
        <w:left w:val="none" w:sz="0" w:space="0" w:color="auto"/>
        <w:bottom w:val="none" w:sz="0" w:space="0" w:color="auto"/>
        <w:right w:val="none" w:sz="0" w:space="0" w:color="auto"/>
      </w:divBdr>
    </w:div>
    <w:div w:id="1025403907">
      <w:bodyDiv w:val="1"/>
      <w:marLeft w:val="0"/>
      <w:marRight w:val="0"/>
      <w:marTop w:val="0"/>
      <w:marBottom w:val="0"/>
      <w:divBdr>
        <w:top w:val="none" w:sz="0" w:space="0" w:color="auto"/>
        <w:left w:val="none" w:sz="0" w:space="0" w:color="auto"/>
        <w:bottom w:val="none" w:sz="0" w:space="0" w:color="auto"/>
        <w:right w:val="none" w:sz="0" w:space="0" w:color="auto"/>
      </w:divBdr>
    </w:div>
    <w:div w:id="1062218207">
      <w:bodyDiv w:val="1"/>
      <w:marLeft w:val="0"/>
      <w:marRight w:val="0"/>
      <w:marTop w:val="0"/>
      <w:marBottom w:val="0"/>
      <w:divBdr>
        <w:top w:val="none" w:sz="0" w:space="0" w:color="auto"/>
        <w:left w:val="none" w:sz="0" w:space="0" w:color="auto"/>
        <w:bottom w:val="none" w:sz="0" w:space="0" w:color="auto"/>
        <w:right w:val="none" w:sz="0" w:space="0" w:color="auto"/>
      </w:divBdr>
    </w:div>
    <w:div w:id="1076784992">
      <w:bodyDiv w:val="1"/>
      <w:marLeft w:val="0"/>
      <w:marRight w:val="0"/>
      <w:marTop w:val="0"/>
      <w:marBottom w:val="0"/>
      <w:divBdr>
        <w:top w:val="none" w:sz="0" w:space="0" w:color="auto"/>
        <w:left w:val="none" w:sz="0" w:space="0" w:color="auto"/>
        <w:bottom w:val="none" w:sz="0" w:space="0" w:color="auto"/>
        <w:right w:val="none" w:sz="0" w:space="0" w:color="auto"/>
      </w:divBdr>
    </w:div>
    <w:div w:id="1207059088">
      <w:bodyDiv w:val="1"/>
      <w:marLeft w:val="0"/>
      <w:marRight w:val="0"/>
      <w:marTop w:val="0"/>
      <w:marBottom w:val="0"/>
      <w:divBdr>
        <w:top w:val="none" w:sz="0" w:space="0" w:color="auto"/>
        <w:left w:val="none" w:sz="0" w:space="0" w:color="auto"/>
        <w:bottom w:val="none" w:sz="0" w:space="0" w:color="auto"/>
        <w:right w:val="none" w:sz="0" w:space="0" w:color="auto"/>
      </w:divBdr>
      <w:divsChild>
        <w:div w:id="12267618">
          <w:marLeft w:val="0"/>
          <w:marRight w:val="0"/>
          <w:marTop w:val="0"/>
          <w:marBottom w:val="0"/>
          <w:divBdr>
            <w:top w:val="none" w:sz="0" w:space="0" w:color="auto"/>
            <w:left w:val="none" w:sz="0" w:space="0" w:color="auto"/>
            <w:bottom w:val="none" w:sz="0" w:space="0" w:color="auto"/>
            <w:right w:val="none" w:sz="0" w:space="0" w:color="auto"/>
          </w:divBdr>
        </w:div>
      </w:divsChild>
    </w:div>
    <w:div w:id="1239248647">
      <w:bodyDiv w:val="1"/>
      <w:marLeft w:val="0"/>
      <w:marRight w:val="0"/>
      <w:marTop w:val="0"/>
      <w:marBottom w:val="0"/>
      <w:divBdr>
        <w:top w:val="none" w:sz="0" w:space="0" w:color="auto"/>
        <w:left w:val="none" w:sz="0" w:space="0" w:color="auto"/>
        <w:bottom w:val="none" w:sz="0" w:space="0" w:color="auto"/>
        <w:right w:val="none" w:sz="0" w:space="0" w:color="auto"/>
      </w:divBdr>
    </w:div>
    <w:div w:id="1248032861">
      <w:bodyDiv w:val="1"/>
      <w:marLeft w:val="0"/>
      <w:marRight w:val="0"/>
      <w:marTop w:val="0"/>
      <w:marBottom w:val="0"/>
      <w:divBdr>
        <w:top w:val="none" w:sz="0" w:space="0" w:color="auto"/>
        <w:left w:val="none" w:sz="0" w:space="0" w:color="auto"/>
        <w:bottom w:val="none" w:sz="0" w:space="0" w:color="auto"/>
        <w:right w:val="none" w:sz="0" w:space="0" w:color="auto"/>
      </w:divBdr>
    </w:div>
    <w:div w:id="1399473768">
      <w:bodyDiv w:val="1"/>
      <w:marLeft w:val="0"/>
      <w:marRight w:val="0"/>
      <w:marTop w:val="0"/>
      <w:marBottom w:val="0"/>
      <w:divBdr>
        <w:top w:val="none" w:sz="0" w:space="0" w:color="auto"/>
        <w:left w:val="none" w:sz="0" w:space="0" w:color="auto"/>
        <w:bottom w:val="none" w:sz="0" w:space="0" w:color="auto"/>
        <w:right w:val="none" w:sz="0" w:space="0" w:color="auto"/>
      </w:divBdr>
    </w:div>
    <w:div w:id="1626766147">
      <w:bodyDiv w:val="1"/>
      <w:marLeft w:val="0"/>
      <w:marRight w:val="0"/>
      <w:marTop w:val="0"/>
      <w:marBottom w:val="0"/>
      <w:divBdr>
        <w:top w:val="none" w:sz="0" w:space="0" w:color="auto"/>
        <w:left w:val="none" w:sz="0" w:space="0" w:color="auto"/>
        <w:bottom w:val="none" w:sz="0" w:space="0" w:color="auto"/>
        <w:right w:val="none" w:sz="0" w:space="0" w:color="auto"/>
      </w:divBdr>
    </w:div>
    <w:div w:id="1710910991">
      <w:bodyDiv w:val="1"/>
      <w:marLeft w:val="0"/>
      <w:marRight w:val="0"/>
      <w:marTop w:val="0"/>
      <w:marBottom w:val="0"/>
      <w:divBdr>
        <w:top w:val="none" w:sz="0" w:space="0" w:color="auto"/>
        <w:left w:val="none" w:sz="0" w:space="0" w:color="auto"/>
        <w:bottom w:val="none" w:sz="0" w:space="0" w:color="auto"/>
        <w:right w:val="none" w:sz="0" w:space="0" w:color="auto"/>
      </w:divBdr>
    </w:div>
    <w:div w:id="2033070730">
      <w:bodyDiv w:val="1"/>
      <w:marLeft w:val="0"/>
      <w:marRight w:val="0"/>
      <w:marTop w:val="0"/>
      <w:marBottom w:val="0"/>
      <w:divBdr>
        <w:top w:val="none" w:sz="0" w:space="0" w:color="auto"/>
        <w:left w:val="none" w:sz="0" w:space="0" w:color="auto"/>
        <w:bottom w:val="none" w:sz="0" w:space="0" w:color="auto"/>
        <w:right w:val="none" w:sz="0" w:space="0" w:color="auto"/>
      </w:divBdr>
    </w:div>
    <w:div w:id="209808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7C3B8-33A4-4459-BE21-28FE6BCF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1665</Words>
  <Characters>9497</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ORGANIZACINĖS TECHNIKOS TECHNINIŲ SPECIFIKACIJŲ PROJEKTAS</vt:lpstr>
      <vt:lpstr>ORGANIZACINĖS TECHNIKOS TECHNINIŲ SPECIFIKACIJŲ PROJEKTAS</vt:lpstr>
    </vt:vector>
  </TitlesOfParts>
  <Company>KAM</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ORGANIZACINĖS TECHNIKOS TECHNINIŲ SPECIFIKACIJŲ PROJEKTAS</dc:title>
  <dc:creator>Viktoras Jucas</dc:creator>
  <cp:lastModifiedBy>Rūta Kuchalskienė</cp:lastModifiedBy>
  <cp:revision>25</cp:revision>
  <cp:lastPrinted>2018-01-22T13:08:00Z</cp:lastPrinted>
  <dcterms:created xsi:type="dcterms:W3CDTF">2024-03-25T08:44:00Z</dcterms:created>
  <dcterms:modified xsi:type="dcterms:W3CDTF">2025-10-09T07:44:00Z</dcterms:modified>
</cp:coreProperties>
</file>